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jc w:val="center"/>
      </w:pPr>
      <w:r>
        <w:t>“全国少儿健康与安全信息化发展计划”单</w:t>
      </w:r>
      <w:r>
        <w:rPr>
          <w:rFonts w:hint="eastAsia"/>
        </w:rPr>
        <w:t>园</w:t>
      </w:r>
      <w:r>
        <w:t>申请表</w:t>
      </w:r>
    </w:p>
    <w:p>
      <w:pPr>
        <w:ind w:firstLine="420"/>
      </w:pPr>
    </w:p>
    <w:p>
      <w:pPr>
        <w:pStyle w:val="7"/>
        <w:ind w:left="2997" w:firstLine="1235" w:firstLineChars="650"/>
        <w:jc w:val="left"/>
      </w:pPr>
      <w:r>
        <w:rPr>
          <w:color w:val="000000"/>
        </w:rPr>
        <w:t>日期：    年     月     日</w:t>
      </w:r>
    </w:p>
    <w:tbl>
      <w:tblPr>
        <w:tblStyle w:val="4"/>
        <w:tblW w:w="0" w:type="auto"/>
        <w:jc w:val="center"/>
        <w:tblLayout w:type="fixed"/>
        <w:tblCellMar>
          <w:top w:w="0" w:type="dxa"/>
          <w:left w:w="10" w:type="dxa"/>
          <w:bottom w:w="0" w:type="dxa"/>
          <w:right w:w="10" w:type="dxa"/>
        </w:tblCellMar>
      </w:tblPr>
      <w:tblGrid>
        <w:gridCol w:w="1667"/>
        <w:gridCol w:w="1439"/>
        <w:gridCol w:w="1118"/>
        <w:gridCol w:w="1851"/>
      </w:tblGrid>
      <w:tr>
        <w:tblPrEx>
          <w:tblCellMar>
            <w:top w:w="0" w:type="dxa"/>
            <w:left w:w="10" w:type="dxa"/>
            <w:bottom w:w="0" w:type="dxa"/>
            <w:right w:w="10" w:type="dxa"/>
          </w:tblCellMar>
        </w:tblPrEx>
        <w:trPr>
          <w:trHeight w:val="453" w:hRule="exact"/>
          <w:jc w:val="center"/>
        </w:trPr>
        <w:tc>
          <w:tcPr>
            <w:tcW w:w="1667" w:type="dxa"/>
            <w:tcBorders>
              <w:top w:val="single" w:color="auto" w:sz="4" w:space="0"/>
              <w:left w:val="single" w:color="auto" w:sz="4" w:space="0"/>
            </w:tcBorders>
            <w:shd w:val="clear" w:color="auto" w:fill="FFFFFF"/>
            <w:vAlign w:val="center"/>
          </w:tcPr>
          <w:p>
            <w:pPr>
              <w:pStyle w:val="8"/>
              <w:ind w:left="0"/>
              <w:jc w:val="center"/>
            </w:pPr>
            <w:r>
              <w:rPr>
                <w:rFonts w:hint="eastAsia"/>
                <w:lang w:val="en-US" w:eastAsia="zh-CN"/>
              </w:rPr>
              <w:t>幼儿园</w:t>
            </w:r>
            <w:r>
              <w:rPr>
                <w:lang w:eastAsia="zh-CN"/>
              </w:rPr>
              <w:t>名称</w:t>
            </w:r>
          </w:p>
        </w:tc>
        <w:tc>
          <w:tcPr>
            <w:tcW w:w="4408" w:type="dxa"/>
            <w:gridSpan w:val="3"/>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59" w:hRule="exact"/>
          <w:jc w:val="center"/>
        </w:trPr>
        <w:tc>
          <w:tcPr>
            <w:tcW w:w="1667" w:type="dxa"/>
            <w:tcBorders>
              <w:top w:val="single" w:color="auto" w:sz="4" w:space="0"/>
              <w:left w:val="single" w:color="auto" w:sz="4" w:space="0"/>
            </w:tcBorders>
            <w:shd w:val="clear" w:color="auto" w:fill="FFFFFF"/>
            <w:vAlign w:val="center"/>
          </w:tcPr>
          <w:p>
            <w:pPr>
              <w:pStyle w:val="8"/>
              <w:ind w:left="0"/>
              <w:jc w:val="center"/>
              <w:rPr>
                <w:lang w:eastAsia="zh-CN"/>
              </w:rPr>
            </w:pPr>
            <w:r>
              <w:rPr>
                <w:rFonts w:hint="eastAsia"/>
                <w:color w:val="000000"/>
                <w:lang w:eastAsia="zh-CN"/>
              </w:rPr>
              <w:t>园所详细</w:t>
            </w:r>
            <w:r>
              <w:rPr>
                <w:color w:val="000000"/>
              </w:rPr>
              <w:t>地址</w:t>
            </w:r>
          </w:p>
        </w:tc>
        <w:tc>
          <w:tcPr>
            <w:tcW w:w="4408" w:type="dxa"/>
            <w:gridSpan w:val="3"/>
            <w:tcBorders>
              <w:top w:val="single" w:color="auto" w:sz="4" w:space="0"/>
              <w:left w:val="single" w:color="auto" w:sz="4" w:space="0"/>
              <w:bottom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53" w:hRule="exact"/>
          <w:jc w:val="center"/>
        </w:trPr>
        <w:tc>
          <w:tcPr>
            <w:tcW w:w="1667" w:type="dxa"/>
            <w:tcBorders>
              <w:top w:val="single" w:color="auto" w:sz="4" w:space="0"/>
              <w:left w:val="single" w:color="auto" w:sz="4" w:space="0"/>
            </w:tcBorders>
            <w:shd w:val="clear" w:color="auto" w:fill="FFFFFF"/>
          </w:tcPr>
          <w:p>
            <w:pPr>
              <w:pStyle w:val="8"/>
              <w:spacing w:before="100"/>
              <w:ind w:left="0"/>
              <w:jc w:val="center"/>
            </w:pPr>
            <w:r>
              <w:rPr>
                <w:color w:val="000000"/>
              </w:rPr>
              <w:t>联系人</w:t>
            </w:r>
          </w:p>
        </w:tc>
        <w:tc>
          <w:tcPr>
            <w:tcW w:w="4408" w:type="dxa"/>
            <w:gridSpan w:val="3"/>
            <w:tcBorders>
              <w:top w:val="single" w:color="auto" w:sz="4" w:space="0"/>
              <w:left w:val="single" w:color="auto" w:sz="4" w:space="0"/>
              <w:bottom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53" w:hRule="exact"/>
          <w:jc w:val="center"/>
        </w:trPr>
        <w:tc>
          <w:tcPr>
            <w:tcW w:w="1667" w:type="dxa"/>
            <w:tcBorders>
              <w:top w:val="single" w:color="auto" w:sz="4" w:space="0"/>
              <w:left w:val="single" w:color="auto" w:sz="4" w:space="0"/>
            </w:tcBorders>
            <w:shd w:val="clear" w:color="auto" w:fill="FFFFFF"/>
          </w:tcPr>
          <w:p>
            <w:pPr>
              <w:pStyle w:val="8"/>
              <w:spacing w:before="100"/>
              <w:ind w:left="0"/>
              <w:jc w:val="center"/>
            </w:pPr>
            <w:r>
              <w:rPr>
                <w:color w:val="000000"/>
              </w:rPr>
              <w:t>邮 箱</w:t>
            </w:r>
          </w:p>
        </w:tc>
        <w:tc>
          <w:tcPr>
            <w:tcW w:w="1439" w:type="dxa"/>
            <w:tcBorders>
              <w:top w:val="single" w:color="auto" w:sz="4" w:space="0"/>
              <w:left w:val="single" w:color="auto" w:sz="4" w:space="0"/>
              <w:right w:val="single" w:color="auto" w:sz="4" w:space="0"/>
            </w:tcBorders>
            <w:shd w:val="clear" w:color="auto" w:fill="FFFFFF"/>
          </w:tcPr>
          <w:p>
            <w:pPr>
              <w:rPr>
                <w:sz w:val="10"/>
                <w:szCs w:val="10"/>
              </w:rPr>
            </w:pPr>
          </w:p>
        </w:tc>
        <w:tc>
          <w:tcPr>
            <w:tcW w:w="1118" w:type="dxa"/>
            <w:tcBorders>
              <w:top w:val="single" w:color="auto" w:sz="4" w:space="0"/>
              <w:left w:val="single" w:color="auto" w:sz="4" w:space="0"/>
            </w:tcBorders>
            <w:shd w:val="clear" w:color="auto" w:fill="FFFFFF"/>
          </w:tcPr>
          <w:p>
            <w:pPr>
              <w:pStyle w:val="8"/>
              <w:spacing w:before="100"/>
              <w:ind w:left="0"/>
              <w:jc w:val="center"/>
              <w:rPr>
                <w:rFonts w:hint="eastAsia"/>
                <w:lang w:eastAsia="zh-CN"/>
              </w:rPr>
            </w:pPr>
            <w:r>
              <w:rPr>
                <w:color w:val="000000"/>
              </w:rPr>
              <w:t>电话</w:t>
            </w:r>
            <w:r>
              <w:rPr>
                <w:rFonts w:hint="eastAsia"/>
                <w:color w:val="000000"/>
                <w:lang w:eastAsia="zh-CN"/>
              </w:rPr>
              <w:t>（手机）</w:t>
            </w:r>
          </w:p>
        </w:tc>
        <w:tc>
          <w:tcPr>
            <w:tcW w:w="185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3227" w:hRule="exact"/>
          <w:jc w:val="center"/>
        </w:trPr>
        <w:tc>
          <w:tcPr>
            <w:tcW w:w="1667" w:type="dxa"/>
            <w:tcBorders>
              <w:top w:val="single" w:color="auto" w:sz="4" w:space="0"/>
              <w:left w:val="single" w:color="auto" w:sz="4" w:space="0"/>
            </w:tcBorders>
            <w:shd w:val="clear" w:color="auto" w:fill="FFFFFF"/>
            <w:vAlign w:val="center"/>
          </w:tcPr>
          <w:p>
            <w:pPr>
              <w:pStyle w:val="8"/>
              <w:ind w:left="0"/>
              <w:jc w:val="center"/>
            </w:pPr>
            <w:r>
              <w:rPr>
                <w:rFonts w:hint="eastAsia"/>
                <w:color w:val="000000"/>
                <w:lang w:eastAsia="zh-CN"/>
              </w:rPr>
              <w:t>幼儿园</w:t>
            </w:r>
            <w:r>
              <w:rPr>
                <w:color w:val="000000"/>
              </w:rPr>
              <w:t>情况简介</w:t>
            </w:r>
          </w:p>
        </w:tc>
        <w:tc>
          <w:tcPr>
            <w:tcW w:w="4408" w:type="dxa"/>
            <w:gridSpan w:val="3"/>
            <w:tcBorders>
              <w:top w:val="single" w:color="auto" w:sz="4" w:space="0"/>
              <w:left w:val="single" w:color="auto" w:sz="4" w:space="0"/>
              <w:right w:val="single" w:color="auto" w:sz="4" w:space="0"/>
            </w:tcBorders>
            <w:shd w:val="clear" w:color="auto" w:fill="FFFFFF"/>
            <w:vAlign w:val="bottom"/>
          </w:tcPr>
          <w:p>
            <w:pPr>
              <w:pStyle w:val="8"/>
              <w:tabs>
                <w:tab w:val="left" w:leader="underscore" w:pos="1169"/>
                <w:tab w:val="left" w:leader="underscore" w:pos="2685"/>
                <w:tab w:val="left" w:leader="underscore" w:pos="4303"/>
              </w:tabs>
              <w:ind w:left="0"/>
              <w:jc w:val="left"/>
              <w:rPr>
                <w:sz w:val="10"/>
                <w:szCs w:val="10"/>
              </w:rPr>
            </w:pPr>
          </w:p>
        </w:tc>
      </w:tr>
      <w:tr>
        <w:tblPrEx>
          <w:tblCellMar>
            <w:top w:w="0" w:type="dxa"/>
            <w:left w:w="10" w:type="dxa"/>
            <w:bottom w:w="0" w:type="dxa"/>
            <w:right w:w="10" w:type="dxa"/>
          </w:tblCellMar>
        </w:tblPrEx>
        <w:trPr>
          <w:trHeight w:val="2099" w:hRule="exact"/>
          <w:jc w:val="center"/>
        </w:trPr>
        <w:tc>
          <w:tcPr>
            <w:tcW w:w="1667" w:type="dxa"/>
            <w:tcBorders>
              <w:top w:val="single" w:color="auto" w:sz="4" w:space="0"/>
              <w:left w:val="single" w:color="auto" w:sz="4" w:space="0"/>
              <w:bottom w:val="single" w:color="auto" w:sz="4" w:space="0"/>
            </w:tcBorders>
            <w:shd w:val="clear" w:color="auto" w:fill="FFFFFF"/>
            <w:vAlign w:val="center"/>
          </w:tcPr>
          <w:p>
            <w:pPr>
              <w:pStyle w:val="8"/>
              <w:spacing w:line="442" w:lineRule="exact"/>
              <w:ind w:left="0"/>
              <w:jc w:val="center"/>
            </w:pPr>
            <w:r>
              <w:rPr>
                <w:rFonts w:hint="eastAsia"/>
                <w:color w:val="000000"/>
                <w:lang w:eastAsia="zh-CN"/>
              </w:rPr>
              <w:t>幼儿园</w:t>
            </w:r>
            <w:r>
              <w:rPr>
                <w:color w:val="000000"/>
              </w:rPr>
              <w:t>意见</w:t>
            </w:r>
          </w:p>
        </w:tc>
        <w:tc>
          <w:tcPr>
            <w:tcW w:w="4408" w:type="dxa"/>
            <w:gridSpan w:val="3"/>
            <w:tcBorders>
              <w:top w:val="single" w:color="auto" w:sz="4" w:space="0"/>
              <w:left w:val="single" w:color="auto" w:sz="4" w:space="0"/>
              <w:bottom w:val="single" w:color="auto" w:sz="4" w:space="0"/>
              <w:right w:val="single" w:color="auto" w:sz="4" w:space="0"/>
            </w:tcBorders>
            <w:shd w:val="clear" w:color="auto" w:fill="FFFFFF"/>
          </w:tcPr>
          <w:p>
            <w:pPr>
              <w:pStyle w:val="8"/>
              <w:spacing w:line="449" w:lineRule="exact"/>
              <w:ind w:left="0" w:firstLine="140"/>
              <w:jc w:val="left"/>
              <w:rPr>
                <w:color w:val="000000"/>
              </w:rPr>
            </w:pPr>
          </w:p>
          <w:p>
            <w:pPr>
              <w:pStyle w:val="8"/>
              <w:spacing w:line="449" w:lineRule="exact"/>
              <w:ind w:left="0" w:firstLine="140"/>
              <w:jc w:val="left"/>
              <w:rPr>
                <w:color w:val="000000"/>
              </w:rPr>
            </w:pPr>
            <w:r>
              <w:rPr>
                <w:color w:val="000000"/>
              </w:rPr>
              <w:t xml:space="preserve">                            盖     章</w:t>
            </w:r>
          </w:p>
          <w:p>
            <w:pPr>
              <w:pStyle w:val="8"/>
              <w:spacing w:line="449" w:lineRule="exact"/>
              <w:ind w:left="0" w:firstLine="140"/>
              <w:jc w:val="left"/>
              <w:rPr>
                <w:color w:val="000000"/>
              </w:rPr>
            </w:pPr>
            <w:r>
              <w:rPr>
                <w:color w:val="000000"/>
              </w:rPr>
              <w:t xml:space="preserve">                        年     月     日</w:t>
            </w:r>
          </w:p>
        </w:tc>
      </w:tr>
      <w:tr>
        <w:tblPrEx>
          <w:tblCellMar>
            <w:top w:w="0" w:type="dxa"/>
            <w:left w:w="10" w:type="dxa"/>
            <w:bottom w:w="0" w:type="dxa"/>
            <w:right w:w="10" w:type="dxa"/>
          </w:tblCellMar>
        </w:tblPrEx>
        <w:trPr>
          <w:trHeight w:val="1809" w:hRule="exact"/>
          <w:jc w:val="center"/>
        </w:trPr>
        <w:tc>
          <w:tcPr>
            <w:tcW w:w="1667" w:type="dxa"/>
            <w:tcBorders>
              <w:top w:val="single" w:color="auto" w:sz="4" w:space="0"/>
              <w:left w:val="single" w:color="auto" w:sz="4" w:space="0"/>
              <w:bottom w:val="single" w:color="auto" w:sz="4" w:space="0"/>
            </w:tcBorders>
            <w:shd w:val="clear" w:color="auto" w:fill="FFFFFF"/>
            <w:vAlign w:val="center"/>
          </w:tcPr>
          <w:p>
            <w:pPr>
              <w:pStyle w:val="8"/>
              <w:spacing w:line="442" w:lineRule="exact"/>
              <w:ind w:left="0"/>
              <w:jc w:val="center"/>
              <w:rPr>
                <w:color w:val="000000"/>
              </w:rPr>
            </w:pPr>
          </w:p>
          <w:p>
            <w:pPr>
              <w:pStyle w:val="8"/>
              <w:spacing w:line="442" w:lineRule="exact"/>
              <w:ind w:left="0"/>
              <w:jc w:val="center"/>
              <w:rPr>
                <w:color w:val="000000"/>
              </w:rPr>
            </w:pPr>
            <w:r>
              <w:rPr>
                <w:color w:val="000000"/>
              </w:rPr>
              <w:t>承办单位意见</w:t>
            </w:r>
          </w:p>
          <w:p>
            <w:pPr>
              <w:pStyle w:val="8"/>
              <w:spacing w:line="442" w:lineRule="exact"/>
              <w:ind w:left="0"/>
              <w:jc w:val="center"/>
            </w:pPr>
          </w:p>
        </w:tc>
        <w:tc>
          <w:tcPr>
            <w:tcW w:w="4408" w:type="dxa"/>
            <w:gridSpan w:val="3"/>
            <w:tcBorders>
              <w:top w:val="single" w:color="auto" w:sz="4" w:space="0"/>
              <w:left w:val="single" w:color="auto" w:sz="4" w:space="0"/>
              <w:bottom w:val="single" w:color="auto" w:sz="4" w:space="0"/>
              <w:right w:val="single" w:color="auto" w:sz="4" w:space="0"/>
            </w:tcBorders>
            <w:shd w:val="clear" w:color="auto" w:fill="FFFFFF"/>
          </w:tcPr>
          <w:p>
            <w:pPr>
              <w:pStyle w:val="8"/>
              <w:spacing w:line="449" w:lineRule="exact"/>
              <w:ind w:left="0" w:firstLine="140"/>
              <w:jc w:val="left"/>
              <w:rPr>
                <w:color w:val="000000"/>
              </w:rPr>
            </w:pPr>
          </w:p>
          <w:p>
            <w:pPr>
              <w:pStyle w:val="8"/>
              <w:spacing w:line="449" w:lineRule="exact"/>
              <w:ind w:left="0" w:firstLine="2781" w:firstLineChars="1464"/>
              <w:jc w:val="left"/>
              <w:rPr>
                <w:color w:val="000000"/>
              </w:rPr>
            </w:pPr>
          </w:p>
          <w:p>
            <w:pPr>
              <w:pStyle w:val="8"/>
              <w:spacing w:line="449" w:lineRule="exact"/>
              <w:ind w:left="0" w:firstLine="2781" w:firstLineChars="1464"/>
              <w:jc w:val="left"/>
              <w:rPr>
                <w:color w:val="000000"/>
              </w:rPr>
            </w:pPr>
            <w:r>
              <w:rPr>
                <w:color w:val="000000"/>
              </w:rPr>
              <w:t>盖     章</w:t>
            </w:r>
          </w:p>
          <w:p>
            <w:pPr>
              <w:pStyle w:val="8"/>
              <w:spacing w:line="449" w:lineRule="exact"/>
              <w:ind w:left="0" w:firstLine="140"/>
              <w:jc w:val="left"/>
            </w:pPr>
            <w:r>
              <w:rPr>
                <w:color w:val="000000"/>
              </w:rPr>
              <w:t xml:space="preserve">                        年     月     日</w:t>
            </w:r>
          </w:p>
        </w:tc>
      </w:tr>
    </w:tbl>
    <w:p>
      <w:pPr>
        <w:pStyle w:val="7"/>
        <w:ind w:firstLine="285" w:firstLineChars="150"/>
      </w:pPr>
      <w:r>
        <w:t>注：此表复印有效。</w:t>
      </w:r>
    </w:p>
    <w:p/>
    <w:p/>
    <w:p/>
    <w:p/>
    <w:p/>
    <w:p/>
    <w:p/>
    <w:p/>
    <w:p/>
    <w:p/>
    <w:p/>
    <w:p/>
    <w:p>
      <w:pPr>
        <w:jc w:val="center"/>
        <w:rPr>
          <w:rFonts w:hint="eastAsia"/>
          <w:lang w:val="en-US" w:eastAsia="zh-CN"/>
        </w:rPr>
      </w:pPr>
      <w:r>
        <w:t>“全国少儿健康与安全信息化发展计划”单</w:t>
      </w:r>
      <w:r>
        <w:rPr>
          <w:rFonts w:hint="eastAsia"/>
        </w:rPr>
        <w:t>园</w:t>
      </w:r>
      <w:r>
        <w:rPr>
          <w:rFonts w:hint="eastAsia"/>
          <w:lang w:val="en-US" w:eastAsia="zh-CN"/>
        </w:rPr>
        <w:t>硬件免押金申请</w:t>
      </w:r>
    </w:p>
    <w:p>
      <w:pPr>
        <w:jc w:val="both"/>
        <w:rPr>
          <w:rFonts w:hint="eastAsia"/>
          <w:lang w:val="en-US" w:eastAsia="zh-CN"/>
        </w:rPr>
      </w:pPr>
      <w:bookmarkStart w:id="3" w:name="_GoBack"/>
      <w:bookmarkEnd w:id="3"/>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rPr>
                <w:sz w:val="18"/>
                <w:szCs w:val="18"/>
                <w:vertAlign w:val="baseline"/>
              </w:rPr>
            </w:pPr>
            <w:r>
              <w:rPr>
                <w:sz w:val="18"/>
                <w:szCs w:val="18"/>
                <w:vertAlign w:val="baseline"/>
              </w:rPr>
              <w:t>合同编号</w:t>
            </w:r>
          </w:p>
        </w:tc>
        <w:tc>
          <w:tcPr>
            <w:tcW w:w="2841" w:type="dxa"/>
          </w:tcPr>
          <w:p>
            <w:pPr>
              <w:jc w:val="center"/>
              <w:rPr>
                <w:sz w:val="18"/>
                <w:szCs w:val="18"/>
                <w:vertAlign w:val="baseline"/>
              </w:rPr>
            </w:pPr>
            <w:r>
              <w:rPr>
                <w:sz w:val="18"/>
                <w:szCs w:val="18"/>
                <w:vertAlign w:val="baseline"/>
              </w:rPr>
              <w:t>签订日期</w:t>
            </w:r>
          </w:p>
        </w:tc>
        <w:tc>
          <w:tcPr>
            <w:tcW w:w="2841" w:type="dxa"/>
          </w:tcPr>
          <w:p>
            <w:pPr>
              <w:jc w:val="center"/>
              <w:rPr>
                <w:sz w:val="18"/>
                <w:szCs w:val="18"/>
                <w:vertAlign w:val="baseline"/>
              </w:rPr>
            </w:pPr>
            <w:r>
              <w:rPr>
                <w:sz w:val="18"/>
                <w:szCs w:val="18"/>
                <w:vertAlign w:val="baseline"/>
              </w:rPr>
              <w:t>签订地点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both"/>
              <w:rPr>
                <w:sz w:val="18"/>
                <w:szCs w:val="18"/>
                <w:vertAlign w:val="baseline"/>
              </w:rPr>
            </w:pPr>
            <w:r>
              <w:rPr>
                <w:sz w:val="18"/>
                <w:szCs w:val="18"/>
                <w:vertAlign w:val="baseline"/>
              </w:rPr>
              <w:t xml:space="preserve"> </w:t>
            </w:r>
          </w:p>
        </w:tc>
        <w:tc>
          <w:tcPr>
            <w:tcW w:w="2841" w:type="dxa"/>
          </w:tcPr>
          <w:p>
            <w:pPr>
              <w:ind w:firstLine="450" w:firstLineChars="250"/>
              <w:jc w:val="both"/>
              <w:rPr>
                <w:sz w:val="18"/>
                <w:szCs w:val="18"/>
                <w:vertAlign w:val="baseline"/>
              </w:rPr>
            </w:pPr>
            <w:r>
              <w:rPr>
                <w:sz w:val="18"/>
                <w:szCs w:val="18"/>
                <w:vertAlign w:val="baseline"/>
              </w:rPr>
              <w:t xml:space="preserve">年     月     日 </w:t>
            </w:r>
          </w:p>
        </w:tc>
        <w:tc>
          <w:tcPr>
            <w:tcW w:w="2841" w:type="dxa"/>
          </w:tcPr>
          <w:p>
            <w:pPr>
              <w:jc w:val="both"/>
              <w:rPr>
                <w:sz w:val="18"/>
                <w:szCs w:val="18"/>
                <w:vertAlign w:val="baseline"/>
              </w:rPr>
            </w:pPr>
          </w:p>
        </w:tc>
      </w:tr>
    </w:tbl>
    <w:p>
      <w:pPr>
        <w:jc w:val="center"/>
        <w:rPr>
          <w:sz w:val="28"/>
          <w:szCs w:val="28"/>
        </w:rPr>
      </w:pPr>
      <w:r>
        <w:rPr>
          <w:sz w:val="28"/>
          <w:szCs w:val="28"/>
        </w:rPr>
        <w:t>全国少儿健康与安全信息化软硬件设备</w:t>
      </w:r>
      <w:r>
        <w:rPr>
          <w:rFonts w:hint="eastAsia"/>
          <w:sz w:val="28"/>
          <w:szCs w:val="28"/>
          <w:lang w:val="en-US" w:eastAsia="zh-CN"/>
        </w:rPr>
        <w:t>免押金模式使用</w:t>
      </w:r>
      <w:r>
        <w:rPr>
          <w:sz w:val="28"/>
          <w:szCs w:val="28"/>
        </w:rPr>
        <w:t>协议书</w:t>
      </w:r>
    </w:p>
    <w:p>
      <w:pPr>
        <w:jc w:val="both"/>
        <w:rPr>
          <w:sz w:val="24"/>
          <w:szCs w:val="24"/>
        </w:rPr>
      </w:pPr>
      <w:r>
        <w:rPr>
          <w:sz w:val="24"/>
          <w:szCs w:val="24"/>
        </w:rPr>
        <w:t>甲方（以下简称甲方）：</w:t>
      </w:r>
    </w:p>
    <w:p>
      <w:pPr>
        <w:jc w:val="both"/>
        <w:rPr>
          <w:sz w:val="24"/>
          <w:szCs w:val="24"/>
        </w:rPr>
      </w:pPr>
      <w:r>
        <w:rPr>
          <w:sz w:val="24"/>
          <w:szCs w:val="24"/>
        </w:rPr>
        <w:t>乙方（以下简称乙方）：食安童健（北京）科技有限公司</w:t>
      </w:r>
    </w:p>
    <w:p>
      <w:pPr>
        <w:jc w:val="both"/>
        <w:rPr>
          <w:sz w:val="24"/>
          <w:szCs w:val="24"/>
        </w:rPr>
      </w:pPr>
    </w:p>
    <w:p>
      <w:pPr>
        <w:jc w:val="both"/>
        <w:rPr>
          <w:color w:val="auto"/>
        </w:rPr>
      </w:pPr>
      <w:r>
        <w:t xml:space="preserve">  </w:t>
      </w:r>
      <w:r>
        <w:rPr>
          <w:color w:val="auto"/>
        </w:rPr>
        <w:t xml:space="preserve"> 为提高幼儿园信息化水平和管理水平，保障幼儿身心健康成长，结合全国少儿健康与安全信息化项目工作要求，针对</w:t>
      </w:r>
      <w:r>
        <w:rPr>
          <w:rFonts w:hint="eastAsia"/>
          <w:color w:val="auto"/>
          <w:lang w:val="en-US" w:eastAsia="zh-CN"/>
        </w:rPr>
        <w:t>办园性质</w:t>
      </w:r>
      <w:r>
        <w:rPr>
          <w:rFonts w:hint="default"/>
          <w:color w:val="auto"/>
          <w:lang w:eastAsia="zh-CN"/>
        </w:rPr>
        <w:t>为</w:t>
      </w:r>
      <w:r>
        <w:rPr>
          <w:rFonts w:hint="eastAsia"/>
          <w:color w:val="auto"/>
          <w:lang w:val="en-US" w:eastAsia="zh-CN"/>
        </w:rPr>
        <w:t>民办</w:t>
      </w:r>
      <w:r>
        <w:rPr>
          <w:rFonts w:hint="default"/>
          <w:color w:val="auto"/>
          <w:lang w:eastAsia="zh-CN"/>
        </w:rPr>
        <w:t>性质的园所</w:t>
      </w:r>
      <w:r>
        <w:rPr>
          <w:rFonts w:hint="eastAsia"/>
          <w:color w:val="auto"/>
          <w:lang w:val="en-US" w:eastAsia="zh-CN"/>
        </w:rPr>
        <w:t>，需在官网</w:t>
      </w:r>
      <w:r>
        <w:rPr>
          <w:rFonts w:hint="default"/>
          <w:color w:val="auto"/>
          <w:lang w:eastAsia="zh-CN"/>
        </w:rPr>
        <w:t>按</w:t>
      </w:r>
      <w:r>
        <w:rPr>
          <w:rFonts w:hint="eastAsia"/>
          <w:color w:val="auto"/>
          <w:lang w:val="en-US" w:eastAsia="zh-CN"/>
        </w:rPr>
        <w:t>免押金使用</w:t>
      </w:r>
      <w:r>
        <w:rPr>
          <w:rFonts w:hint="default"/>
          <w:color w:val="auto"/>
          <w:lang w:eastAsia="zh-CN"/>
        </w:rPr>
        <w:t>模式申请</w:t>
      </w:r>
      <w:r>
        <w:rPr>
          <w:rFonts w:hint="eastAsia"/>
          <w:color w:val="auto"/>
          <w:lang w:val="en-US" w:eastAsia="zh-CN"/>
        </w:rPr>
        <w:t>，为保障</w:t>
      </w:r>
      <w:r>
        <w:rPr>
          <w:color w:val="auto"/>
        </w:rPr>
        <w:t>甲乙双方共同</w:t>
      </w:r>
      <w:r>
        <w:rPr>
          <w:rFonts w:hint="eastAsia"/>
          <w:color w:val="auto"/>
          <w:lang w:val="en-US" w:eastAsia="zh-CN"/>
        </w:rPr>
        <w:t>利益，</w:t>
      </w:r>
      <w:r>
        <w:rPr>
          <w:color w:val="auto"/>
        </w:rPr>
        <w:t>在平等协商的基础上，达成如下协议内容：</w:t>
      </w:r>
    </w:p>
    <w:p>
      <w:pPr>
        <w:jc w:val="both"/>
        <w:rPr>
          <w:color w:val="auto"/>
        </w:rPr>
      </w:pPr>
      <w:r>
        <w:rPr>
          <w:color w:val="auto"/>
        </w:rPr>
        <w:t>一、合作内容</w:t>
      </w:r>
    </w:p>
    <w:p>
      <w:pPr>
        <w:numPr>
          <w:ilvl w:val="0"/>
          <w:numId w:val="1"/>
        </w:numPr>
        <w:jc w:val="both"/>
        <w:rPr>
          <w:color w:val="auto"/>
        </w:rPr>
      </w:pPr>
      <w:r>
        <w:t>乙方为甲方长期免费投放    台社区猫AI智慧幼儿园接送宝设备和社区猫AI智慧幼儿园软件系统标准版（见附件一：软硬件设备清单）</w:t>
      </w:r>
      <w:r>
        <w:rPr>
          <w:color w:val="auto"/>
        </w:rPr>
        <w:t>。供甲方在幼儿园内使用，设备进驻甲方场所后，设备所有权仍归乙方所有。</w:t>
      </w:r>
    </w:p>
    <w:p>
      <w:pPr>
        <w:numPr>
          <w:ilvl w:val="0"/>
          <w:numId w:val="1"/>
        </w:numPr>
        <w:jc w:val="both"/>
        <w:rPr>
          <w:color w:val="auto"/>
        </w:rPr>
      </w:pPr>
      <w:r>
        <w:rPr>
          <w:color w:val="auto"/>
        </w:rPr>
        <w:t>乙方长期</w:t>
      </w:r>
      <w:r>
        <w:t>免费提供社区猫AI智慧幼儿园软件系统（基础版）产品售后服务和升级服务</w:t>
      </w:r>
    </w:p>
    <w:p>
      <w:pPr>
        <w:numPr>
          <w:ilvl w:val="0"/>
          <w:numId w:val="1"/>
        </w:numPr>
        <w:jc w:val="both"/>
        <w:rPr>
          <w:color w:val="auto"/>
        </w:rPr>
      </w:pPr>
      <w:r>
        <w:rPr>
          <w:color w:val="auto"/>
        </w:rPr>
        <w:t>乙方为免费放置在甲方园区内的设备提供一年内的保修服务，一年后乙方提供有偿维修和维护服务。</w:t>
      </w:r>
    </w:p>
    <w:p>
      <w:pPr>
        <w:numPr>
          <w:ilvl w:val="0"/>
          <w:numId w:val="1"/>
        </w:numPr>
        <w:jc w:val="both"/>
        <w:rPr>
          <w:color w:val="auto"/>
        </w:rPr>
      </w:pPr>
      <w:r>
        <w:rPr>
          <w:color w:val="auto"/>
        </w:rPr>
        <w:t>合作期间甲方不得使用与乙方同类的产品，否则乙方有权将设备拆除终止合同。</w:t>
      </w:r>
    </w:p>
    <w:p>
      <w:pPr>
        <w:numPr>
          <w:ilvl w:val="0"/>
          <w:numId w:val="1"/>
        </w:numPr>
        <w:jc w:val="both"/>
        <w:rPr>
          <w:color w:val="auto"/>
        </w:rPr>
      </w:pPr>
      <w:r>
        <w:rPr>
          <w:rFonts w:hint="eastAsia"/>
          <w:color w:val="auto"/>
          <w:lang w:val="en-US" w:eastAsia="zh-CN"/>
        </w:rPr>
        <w:t>因</w:t>
      </w:r>
      <w:r>
        <w:rPr>
          <w:rFonts w:hint="default"/>
          <w:color w:val="auto"/>
          <w:lang w:eastAsia="zh-CN"/>
        </w:rPr>
        <w:t>项目</w:t>
      </w:r>
      <w:r>
        <w:rPr>
          <w:rFonts w:hint="eastAsia"/>
          <w:color w:val="auto"/>
          <w:lang w:val="en-US" w:eastAsia="zh-CN"/>
        </w:rPr>
        <w:t>需在企业微信平台中</w:t>
      </w:r>
      <w:r>
        <w:rPr>
          <w:rFonts w:hint="default"/>
          <w:color w:val="auto"/>
          <w:lang w:eastAsia="zh-CN"/>
        </w:rPr>
        <w:t>运行</w:t>
      </w:r>
      <w:r>
        <w:rPr>
          <w:rFonts w:hint="eastAsia"/>
          <w:color w:val="auto"/>
          <w:lang w:val="en-US" w:eastAsia="zh-CN"/>
        </w:rPr>
        <w:t>，申请使用园所</w:t>
      </w:r>
      <w:r>
        <w:rPr>
          <w:rFonts w:hint="default"/>
          <w:color w:val="auto"/>
          <w:lang w:eastAsia="zh-CN"/>
        </w:rPr>
        <w:t>全体</w:t>
      </w:r>
      <w:r>
        <w:rPr>
          <w:rFonts w:hint="eastAsia"/>
          <w:color w:val="auto"/>
          <w:lang w:val="en-US" w:eastAsia="zh-CN"/>
        </w:rPr>
        <w:t>教职工均需下载和使用企业微信，</w:t>
      </w:r>
      <w:r>
        <w:rPr>
          <w:rFonts w:hint="default"/>
          <w:color w:val="auto"/>
          <w:lang w:eastAsia="zh-CN"/>
        </w:rPr>
        <w:t>以</w:t>
      </w:r>
      <w:r>
        <w:rPr>
          <w:rFonts w:hint="eastAsia"/>
          <w:color w:val="auto"/>
          <w:lang w:val="en-US" w:eastAsia="zh-CN"/>
        </w:rPr>
        <w:t>保证硬件和软件正常运行。</w:t>
      </w:r>
    </w:p>
    <w:p>
      <w:pPr>
        <w:numPr>
          <w:ilvl w:val="0"/>
          <w:numId w:val="1"/>
        </w:numPr>
        <w:jc w:val="both"/>
        <w:rPr>
          <w:color w:val="auto"/>
        </w:rPr>
      </w:pPr>
      <w:r>
        <w:rPr>
          <w:color w:val="auto"/>
        </w:rPr>
        <w:t>合作有效期：长期</w:t>
      </w:r>
    </w:p>
    <w:p>
      <w:pPr>
        <w:numPr>
          <w:ilvl w:val="0"/>
          <w:numId w:val="2"/>
        </w:numPr>
        <w:jc w:val="both"/>
        <w:rPr>
          <w:color w:val="auto"/>
        </w:rPr>
      </w:pPr>
      <w:r>
        <w:rPr>
          <w:color w:val="auto"/>
        </w:rPr>
        <w:t>甲方权利和义务</w:t>
      </w:r>
    </w:p>
    <w:p>
      <w:pPr>
        <w:numPr>
          <w:ilvl w:val="0"/>
          <w:numId w:val="3"/>
        </w:numPr>
        <w:jc w:val="both"/>
        <w:rPr>
          <w:color w:val="auto"/>
        </w:rPr>
      </w:pPr>
      <w:r>
        <w:rPr>
          <w:color w:val="auto"/>
        </w:rPr>
        <w:t>甲方负责提供安装地点和环境，保障设备日常运行所需要场地、供电、网络等使用环境。</w:t>
      </w:r>
    </w:p>
    <w:p>
      <w:pPr>
        <w:numPr>
          <w:ilvl w:val="0"/>
          <w:numId w:val="3"/>
        </w:numPr>
        <w:jc w:val="both"/>
        <w:rPr>
          <w:color w:val="auto"/>
        </w:rPr>
      </w:pPr>
      <w:r>
        <w:rPr>
          <w:color w:val="auto"/>
        </w:rPr>
        <w:t>甲方需按照乙方设备使用规范进行操作，在遇到使用问题时及时联系乙方工作人员，以确定设备故障原因，保障设备良好运行。</w:t>
      </w:r>
    </w:p>
    <w:p>
      <w:pPr>
        <w:numPr>
          <w:ilvl w:val="0"/>
          <w:numId w:val="3"/>
        </w:numPr>
        <w:jc w:val="both"/>
        <w:rPr>
          <w:color w:val="auto"/>
        </w:rPr>
      </w:pPr>
      <w:r>
        <w:rPr>
          <w:color w:val="auto"/>
        </w:rPr>
        <w:t>甲方配合乙方的宣传和调研工作。</w:t>
      </w:r>
    </w:p>
    <w:p>
      <w:pPr>
        <w:numPr>
          <w:ilvl w:val="0"/>
          <w:numId w:val="3"/>
        </w:numPr>
        <w:jc w:val="both"/>
        <w:rPr>
          <w:color w:val="auto"/>
        </w:rPr>
      </w:pPr>
      <w:r>
        <w:rPr>
          <w:color w:val="auto"/>
        </w:rPr>
        <w:t>甲方收集并提供幼儿园和家长在使用过程中的问题，并及时通知乙方方改进。</w:t>
      </w:r>
    </w:p>
    <w:p>
      <w:pPr>
        <w:numPr>
          <w:ilvl w:val="0"/>
          <w:numId w:val="3"/>
        </w:numPr>
        <w:jc w:val="both"/>
        <w:rPr>
          <w:color w:val="auto"/>
        </w:rPr>
      </w:pPr>
      <w:r>
        <w:rPr>
          <w:color w:val="auto"/>
        </w:rPr>
        <w:t>由于甲方设备使用不当造成的问题，由甲方自行解决，乙方方不承担相应责任。</w:t>
      </w:r>
    </w:p>
    <w:p>
      <w:pPr>
        <w:numPr>
          <w:ilvl w:val="0"/>
          <w:numId w:val="3"/>
        </w:numPr>
        <w:jc w:val="both"/>
        <w:rPr>
          <w:color w:val="auto"/>
        </w:rPr>
      </w:pPr>
      <w:r>
        <w:rPr>
          <w:color w:val="auto"/>
        </w:rPr>
        <w:t>乙方需保障甲方数据安全性，不得出现数据泄漏、遗失、非法商业用途等情况，如出现此情况甲方可单方面终止合同，并有权追缴给甲方造成的损失。</w:t>
      </w:r>
    </w:p>
    <w:p>
      <w:pPr>
        <w:numPr>
          <w:ilvl w:val="0"/>
          <w:numId w:val="3"/>
        </w:numPr>
        <w:jc w:val="both"/>
        <w:rPr>
          <w:color w:val="auto"/>
        </w:rPr>
      </w:pPr>
      <w:r>
        <w:rPr>
          <w:rFonts w:hint="eastAsia"/>
          <w:color w:val="auto"/>
          <w:lang w:val="en-US" w:eastAsia="zh-CN"/>
        </w:rPr>
        <w:t>甲方根据乙方要求签署国家关工委少儿健康与安全信息化项目入园告知函和按照工作要求开展后续工作。</w:t>
      </w:r>
    </w:p>
    <w:p>
      <w:pPr>
        <w:numPr>
          <w:ilvl w:val="0"/>
          <w:numId w:val="3"/>
        </w:numPr>
        <w:jc w:val="both"/>
        <w:rPr>
          <w:color w:val="auto"/>
        </w:rPr>
      </w:pPr>
      <w:r>
        <w:rPr>
          <w:color w:val="auto"/>
        </w:rPr>
        <w:t>因社区猫AI智慧幼儿园接送宝设备和社区猫AI智慧幼儿园软件系统架构在企业微信APP中，顾</w:t>
      </w:r>
      <w:r>
        <w:rPr>
          <w:rFonts w:hint="eastAsia"/>
          <w:color w:val="auto"/>
          <w:lang w:val="en-US" w:eastAsia="zh-CN"/>
        </w:rPr>
        <w:t>园所</w:t>
      </w:r>
      <w:r>
        <w:rPr>
          <w:rFonts w:hint="default"/>
          <w:color w:val="auto"/>
          <w:lang w:eastAsia="zh-CN"/>
        </w:rPr>
        <w:t>所有</w:t>
      </w:r>
      <w:r>
        <w:rPr>
          <w:rFonts w:hint="eastAsia"/>
          <w:color w:val="auto"/>
          <w:lang w:val="en-US" w:eastAsia="zh-CN"/>
        </w:rPr>
        <w:t>教职工需长期使用企业微信，并坚持保证日活度。</w:t>
      </w:r>
    </w:p>
    <w:p>
      <w:pPr>
        <w:numPr>
          <w:ilvl w:val="0"/>
          <w:numId w:val="2"/>
        </w:numPr>
        <w:jc w:val="both"/>
        <w:rPr>
          <w:color w:val="auto"/>
        </w:rPr>
      </w:pPr>
      <w:r>
        <w:rPr>
          <w:color w:val="auto"/>
        </w:rPr>
        <w:t>乙方权利和义务</w:t>
      </w:r>
    </w:p>
    <w:p>
      <w:pPr>
        <w:numPr>
          <w:ilvl w:val="0"/>
          <w:numId w:val="4"/>
        </w:numPr>
        <w:jc w:val="both"/>
        <w:rPr>
          <w:color w:val="auto"/>
        </w:rPr>
      </w:pPr>
      <w:r>
        <w:rPr>
          <w:color w:val="auto"/>
        </w:rPr>
        <w:t>乙方提供符合国家质量标准的合格设备，产品相关硬件售后服务标准见附件二和附件三</w:t>
      </w:r>
      <w:r>
        <w:rPr>
          <w:rFonts w:hint="default"/>
          <w:color w:val="auto"/>
          <w:lang w:eastAsia="zh-CN"/>
        </w:rPr>
        <w:t>软件功能列表及服务说明</w:t>
      </w:r>
      <w:r>
        <w:rPr>
          <w:color w:val="auto"/>
        </w:rPr>
        <w:t>。</w:t>
      </w:r>
    </w:p>
    <w:p>
      <w:pPr>
        <w:numPr>
          <w:ilvl w:val="0"/>
          <w:numId w:val="4"/>
        </w:numPr>
        <w:jc w:val="both"/>
        <w:rPr>
          <w:color w:val="auto"/>
        </w:rPr>
      </w:pPr>
      <w:r>
        <w:rPr>
          <w:color w:val="auto"/>
        </w:rPr>
        <w:t>乙方负责提供软硬件设备安装调测、使用培训、日常维修、维护服务等保障设备正常运营的服务内容。</w:t>
      </w:r>
    </w:p>
    <w:p>
      <w:pPr>
        <w:numPr>
          <w:ilvl w:val="0"/>
          <w:numId w:val="4"/>
        </w:numPr>
        <w:jc w:val="both"/>
        <w:rPr>
          <w:color w:val="auto"/>
        </w:rPr>
      </w:pPr>
      <w:r>
        <w:rPr>
          <w:color w:val="auto"/>
        </w:rPr>
        <w:t>乙方负责甲方需要的各类培训</w:t>
      </w:r>
      <w:r>
        <w:rPr>
          <w:rFonts w:hint="eastAsia"/>
          <w:color w:val="auto"/>
          <w:lang w:val="en-US" w:eastAsia="zh-CN"/>
        </w:rPr>
        <w:t>工作</w:t>
      </w:r>
      <w:r>
        <w:rPr>
          <w:color w:val="auto"/>
        </w:rPr>
        <w:t>，培训方式为现场培训、远程培训、课件培训</w:t>
      </w:r>
      <w:r>
        <w:rPr>
          <w:rFonts w:hint="eastAsia"/>
          <w:color w:val="auto"/>
          <w:lang w:eastAsia="zh-CN"/>
        </w:rPr>
        <w:t>、</w:t>
      </w:r>
      <w:r>
        <w:rPr>
          <w:rFonts w:hint="eastAsia"/>
          <w:color w:val="auto"/>
          <w:lang w:val="en-US" w:eastAsia="zh-CN"/>
        </w:rPr>
        <w:t>企业微信下载及使用培训</w:t>
      </w:r>
      <w:r>
        <w:rPr>
          <w:color w:val="auto"/>
        </w:rPr>
        <w:t>等多种形式。</w:t>
      </w:r>
    </w:p>
    <w:p>
      <w:pPr>
        <w:numPr>
          <w:ilvl w:val="0"/>
          <w:numId w:val="4"/>
        </w:numPr>
        <w:jc w:val="both"/>
        <w:rPr>
          <w:color w:val="auto"/>
        </w:rPr>
      </w:pPr>
      <w:r>
        <w:rPr>
          <w:rFonts w:hint="eastAsia"/>
          <w:color w:val="auto"/>
          <w:lang w:val="en-US" w:eastAsia="zh-CN"/>
        </w:rPr>
        <w:t>如甲方未按照协议使用平台或企业微信，乙方有权进行提示，如仍未能按要求</w:t>
      </w:r>
      <w:r>
        <w:rPr>
          <w:rFonts w:hint="default"/>
          <w:color w:val="auto"/>
          <w:lang w:eastAsia="zh-CN"/>
        </w:rPr>
        <w:t>使用</w:t>
      </w:r>
      <w:r>
        <w:rPr>
          <w:rFonts w:hint="eastAsia"/>
          <w:color w:val="auto"/>
          <w:lang w:val="en-US" w:eastAsia="zh-CN"/>
        </w:rPr>
        <w:t>，</w:t>
      </w:r>
      <w:r>
        <w:rPr>
          <w:rFonts w:hint="default"/>
          <w:color w:val="auto"/>
          <w:lang w:eastAsia="zh-CN"/>
        </w:rPr>
        <w:t>甲方</w:t>
      </w:r>
      <w:r>
        <w:rPr>
          <w:rFonts w:hint="eastAsia"/>
          <w:color w:val="auto"/>
          <w:lang w:val="en-US" w:eastAsia="zh-CN"/>
        </w:rPr>
        <w:t>有权在</w:t>
      </w:r>
      <w:r>
        <w:rPr>
          <w:rFonts w:hint="default"/>
          <w:color w:val="auto"/>
          <w:lang w:eastAsia="zh-CN"/>
        </w:rPr>
        <w:t>发出</w:t>
      </w:r>
      <w:r>
        <w:rPr>
          <w:rFonts w:hint="eastAsia"/>
          <w:color w:val="auto"/>
          <w:lang w:val="en-US" w:eastAsia="zh-CN"/>
        </w:rPr>
        <w:t>提示5个工作日</w:t>
      </w:r>
      <w:r>
        <w:rPr>
          <w:rFonts w:hint="default"/>
          <w:color w:val="auto"/>
          <w:lang w:eastAsia="zh-CN"/>
        </w:rPr>
        <w:t>后</w:t>
      </w:r>
      <w:r>
        <w:rPr>
          <w:rFonts w:hint="eastAsia"/>
          <w:color w:val="auto"/>
          <w:lang w:val="en-US" w:eastAsia="zh-CN"/>
        </w:rPr>
        <w:t>停止甲方硬件设备使用和软件使用。</w:t>
      </w:r>
    </w:p>
    <w:p>
      <w:pPr>
        <w:numPr>
          <w:ilvl w:val="0"/>
          <w:numId w:val="4"/>
        </w:numPr>
        <w:jc w:val="both"/>
        <w:rPr>
          <w:color w:val="auto"/>
        </w:rPr>
      </w:pPr>
      <w:r>
        <w:rPr>
          <w:color w:val="auto"/>
        </w:rPr>
        <w:t>乙方提供5*8小时人工售后服务和7*24小时的系统售后服务支持。</w:t>
      </w:r>
    </w:p>
    <w:p>
      <w:pPr>
        <w:numPr>
          <w:ilvl w:val="0"/>
          <w:numId w:val="2"/>
        </w:numPr>
        <w:jc w:val="both"/>
        <w:rPr>
          <w:rFonts w:hint="eastAsia"/>
          <w:color w:val="auto"/>
          <w:lang w:eastAsia="zh-CN"/>
        </w:rPr>
      </w:pPr>
      <w:r>
        <w:rPr>
          <w:rFonts w:hint="eastAsia"/>
          <w:color w:val="auto"/>
          <w:lang w:eastAsia="zh-CN"/>
        </w:rPr>
        <w:t>争议解决方式</w:t>
      </w:r>
    </w:p>
    <w:p>
      <w:pPr>
        <w:keepNext w:val="0"/>
        <w:keepLines w:val="0"/>
        <w:widowControl/>
        <w:numPr>
          <w:ilvl w:val="0"/>
          <w:numId w:val="0"/>
        </w:numPr>
        <w:suppressLineNumbers w:val="0"/>
        <w:ind w:firstLine="315" w:firstLineChars="150"/>
        <w:jc w:val="left"/>
        <w:rPr>
          <w:color w:val="auto"/>
        </w:rPr>
      </w:pPr>
      <w:r>
        <w:rPr>
          <w:rFonts w:hint="eastAsia"/>
          <w:u w:val="none"/>
          <w:lang w:eastAsia="zh-CN"/>
        </w:rPr>
        <w:t>因本协议引起的一切争议，甲乙双方首先本着互谅互让、真诚友好的态度协商解决。如协商不成的，双方均有权向所在地人民法院提起诉讼。</w:t>
      </w:r>
    </w:p>
    <w:p>
      <w:pPr>
        <w:numPr>
          <w:ilvl w:val="0"/>
          <w:numId w:val="2"/>
        </w:numPr>
        <w:jc w:val="both"/>
        <w:rPr>
          <w:color w:val="auto"/>
        </w:rPr>
      </w:pPr>
      <w:r>
        <w:rPr>
          <w:color w:val="auto"/>
        </w:rPr>
        <w:t>其他事宜</w:t>
      </w:r>
    </w:p>
    <w:p>
      <w:pPr>
        <w:numPr>
          <w:ilvl w:val="0"/>
          <w:numId w:val="5"/>
        </w:numPr>
        <w:jc w:val="both"/>
        <w:rPr>
          <w:color w:val="auto"/>
        </w:rPr>
      </w:pPr>
      <w:r>
        <w:rPr>
          <w:color w:val="auto"/>
        </w:rPr>
        <w:t>乙方设备进驻甲方安排的场所，甲方须出具设备接收确认书并提供甲方的证照手续等复印件。</w:t>
      </w:r>
    </w:p>
    <w:p>
      <w:pPr>
        <w:numPr>
          <w:ilvl w:val="0"/>
          <w:numId w:val="5"/>
        </w:numPr>
        <w:jc w:val="both"/>
        <w:rPr>
          <w:color w:val="auto"/>
        </w:rPr>
      </w:pPr>
      <w:r>
        <w:rPr>
          <w:color w:val="auto"/>
        </w:rPr>
        <w:t>本协议需双方共同遵守，如由于单方违约</w:t>
      </w:r>
      <w:r>
        <w:rPr>
          <w:rFonts w:hint="eastAsia"/>
          <w:color w:val="auto"/>
          <w:lang w:val="en-US" w:eastAsia="zh-CN"/>
        </w:rPr>
        <w:t>或无缘由停止使用</w:t>
      </w:r>
      <w:r>
        <w:rPr>
          <w:color w:val="auto"/>
        </w:rPr>
        <w:t>给对方造成损失的，由违约方进行赔偿（不可抗力原因除外）。</w:t>
      </w:r>
    </w:p>
    <w:p>
      <w:pPr>
        <w:numPr>
          <w:ilvl w:val="0"/>
          <w:numId w:val="5"/>
        </w:numPr>
        <w:jc w:val="both"/>
        <w:rPr>
          <w:rFonts w:hint="eastAsia"/>
          <w:color w:val="auto"/>
          <w:lang w:eastAsia="zh-CN"/>
        </w:rPr>
      </w:pPr>
      <w:r>
        <w:rPr>
          <w:rFonts w:hint="eastAsia"/>
          <w:color w:val="auto"/>
          <w:lang w:eastAsia="zh-CN"/>
        </w:rPr>
        <w:t>本协议生效后，</w:t>
      </w:r>
      <w:r>
        <w:rPr>
          <w:rFonts w:hint="default"/>
          <w:color w:val="auto"/>
          <w:lang w:eastAsia="zh-CN"/>
        </w:rPr>
        <w:t>乙</w:t>
      </w:r>
      <w:r>
        <w:rPr>
          <w:rFonts w:hint="eastAsia"/>
          <w:color w:val="auto"/>
          <w:lang w:eastAsia="zh-CN"/>
        </w:rPr>
        <w:t>方以书面载明的有关调整业务内容的说明，经甲乙双方同意，书面通知自动构成本协议的组成部分，对甲乙双方具有约束力，协议仍有未尽事宜，甲乙双方可签订补充协议解决。</w:t>
      </w:r>
    </w:p>
    <w:p>
      <w:pPr>
        <w:numPr>
          <w:ilvl w:val="0"/>
          <w:numId w:val="5"/>
        </w:numPr>
        <w:jc w:val="both"/>
        <w:rPr>
          <w:rFonts w:hint="eastAsia"/>
          <w:color w:val="auto"/>
          <w:lang w:eastAsia="zh-CN"/>
        </w:rPr>
      </w:pPr>
      <w:r>
        <w:rPr>
          <w:rFonts w:hint="eastAsia"/>
          <w:color w:val="auto"/>
          <w:lang w:eastAsia="zh-CN"/>
        </w:rPr>
        <w:t>本协议的补充协议、附件与本协议具有同等法律效力。若本协议的补充协议、附件与本协议存在冲突，则以本协议的补充协议、附件为准。</w:t>
      </w:r>
    </w:p>
    <w:p>
      <w:pPr>
        <w:numPr>
          <w:ilvl w:val="0"/>
          <w:numId w:val="5"/>
        </w:numPr>
        <w:jc w:val="both"/>
        <w:rPr>
          <w:rFonts w:hint="eastAsia"/>
          <w:color w:val="auto"/>
          <w:lang w:eastAsia="zh-CN"/>
        </w:rPr>
      </w:pPr>
      <w:r>
        <w:rPr>
          <w:rFonts w:hint="eastAsia"/>
          <w:color w:val="auto"/>
          <w:lang w:eastAsia="zh-CN"/>
        </w:rPr>
        <w:t>本协议一式贰份，甲乙双方各持壹份，具有同等法律效力。</w:t>
      </w:r>
    </w:p>
    <w:p>
      <w:pPr>
        <w:numPr>
          <w:ilvl w:val="0"/>
          <w:numId w:val="0"/>
        </w:numPr>
        <w:jc w:val="both"/>
        <w:rPr>
          <w:rFonts w:hint="eastAsia"/>
          <w:color w:val="auto"/>
          <w:lang w:eastAsia="zh-CN"/>
        </w:rPr>
      </w:pPr>
    </w:p>
    <w:tbl>
      <w:tblPr>
        <w:tblStyle w:val="4"/>
        <w:tblpPr w:leftFromText="180" w:rightFromText="180" w:vertAnchor="text" w:horzAnchor="page" w:tblpX="1960" w:tblpY="329"/>
        <w:tblOverlap w:val="never"/>
        <w:tblW w:w="8982" w:type="dxa"/>
        <w:tblInd w:w="0" w:type="dxa"/>
        <w:tblLayout w:type="fixed"/>
        <w:tblCellMar>
          <w:top w:w="0" w:type="dxa"/>
          <w:left w:w="108" w:type="dxa"/>
          <w:bottom w:w="0" w:type="dxa"/>
          <w:right w:w="108" w:type="dxa"/>
        </w:tblCellMar>
      </w:tblPr>
      <w:tblGrid>
        <w:gridCol w:w="4505"/>
        <w:gridCol w:w="4477"/>
      </w:tblGrid>
      <w:tr>
        <w:tblPrEx>
          <w:tblCellMar>
            <w:top w:w="0" w:type="dxa"/>
            <w:left w:w="108" w:type="dxa"/>
            <w:bottom w:w="0" w:type="dxa"/>
            <w:right w:w="108" w:type="dxa"/>
          </w:tblCellMar>
        </w:tblPrEx>
        <w:trPr>
          <w:trHeight w:val="812" w:hRule="atLeast"/>
        </w:trPr>
        <w:tc>
          <w:tcPr>
            <w:tcW w:w="4505" w:type="dxa"/>
          </w:tcPr>
          <w:p>
            <w:pPr>
              <w:rPr>
                <w:rFonts w:ascii="宋体" w:hAnsi="宋体" w:cs="宋体"/>
                <w:b/>
                <w:sz w:val="16"/>
                <w:szCs w:val="16"/>
              </w:rPr>
            </w:pPr>
            <w:r>
              <w:rPr>
                <w:rFonts w:hint="eastAsia" w:ascii="宋体" w:hAnsi="宋体" w:cs="宋体"/>
                <w:b/>
                <w:sz w:val="16"/>
                <w:szCs w:val="16"/>
              </w:rPr>
              <w:t>甲方：（盖章）</w:t>
            </w:r>
          </w:p>
          <w:p>
            <w:pPr>
              <w:rPr>
                <w:rFonts w:ascii="宋体" w:hAnsi="宋体" w:cs="宋体"/>
                <w:b/>
                <w:sz w:val="16"/>
                <w:szCs w:val="16"/>
              </w:rPr>
            </w:pPr>
          </w:p>
        </w:tc>
        <w:tc>
          <w:tcPr>
            <w:tcW w:w="4477" w:type="dxa"/>
          </w:tcPr>
          <w:p>
            <w:pPr>
              <w:rPr>
                <w:rFonts w:ascii="宋体" w:hAnsi="宋体" w:cs="宋体"/>
                <w:b/>
                <w:sz w:val="16"/>
                <w:szCs w:val="16"/>
              </w:rPr>
            </w:pPr>
            <w:r>
              <w:rPr>
                <w:rFonts w:hint="eastAsia" w:ascii="宋体" w:hAnsi="宋体" w:cs="宋体"/>
                <w:b/>
                <w:sz w:val="16"/>
                <w:szCs w:val="16"/>
              </w:rPr>
              <w:t>乙方：（盖章）</w:t>
            </w:r>
          </w:p>
          <w:p>
            <w:pPr>
              <w:rPr>
                <w:rFonts w:ascii="宋体" w:hAnsi="宋体" w:cs="宋体"/>
                <w:b/>
                <w:sz w:val="16"/>
                <w:szCs w:val="16"/>
              </w:rPr>
            </w:pPr>
            <w:r>
              <w:rPr>
                <w:rFonts w:hint="eastAsia"/>
                <w:lang w:val="en-US" w:eastAsia="zh-CN"/>
              </w:rPr>
              <w:t>食安童健（北京）科技有限公司</w:t>
            </w:r>
          </w:p>
        </w:tc>
      </w:tr>
      <w:tr>
        <w:tblPrEx>
          <w:tblCellMar>
            <w:top w:w="0" w:type="dxa"/>
            <w:left w:w="108" w:type="dxa"/>
            <w:bottom w:w="0" w:type="dxa"/>
            <w:right w:w="108" w:type="dxa"/>
          </w:tblCellMar>
        </w:tblPrEx>
        <w:trPr>
          <w:trHeight w:val="746" w:hRule="atLeast"/>
        </w:trPr>
        <w:tc>
          <w:tcPr>
            <w:tcW w:w="4505" w:type="dxa"/>
          </w:tcPr>
          <w:p>
            <w:pPr>
              <w:rPr>
                <w:rFonts w:ascii="宋体" w:hAnsi="宋体" w:cs="宋体"/>
                <w:b/>
                <w:sz w:val="16"/>
                <w:szCs w:val="16"/>
              </w:rPr>
            </w:pPr>
            <w:r>
              <w:rPr>
                <w:rFonts w:hint="eastAsia" w:ascii="宋体" w:hAnsi="宋体" w:cs="宋体"/>
                <w:b/>
                <w:sz w:val="16"/>
                <w:szCs w:val="16"/>
              </w:rPr>
              <w:t>委托代理人：（签字）</w:t>
            </w:r>
          </w:p>
        </w:tc>
        <w:tc>
          <w:tcPr>
            <w:tcW w:w="4477" w:type="dxa"/>
          </w:tcPr>
          <w:p>
            <w:pPr>
              <w:rPr>
                <w:rFonts w:ascii="宋体" w:hAnsi="宋体" w:cs="宋体"/>
                <w:b/>
                <w:sz w:val="16"/>
                <w:szCs w:val="16"/>
              </w:rPr>
            </w:pPr>
            <w:r>
              <w:rPr>
                <w:rFonts w:hint="eastAsia" w:ascii="宋体" w:hAnsi="宋体" w:cs="宋体"/>
                <w:b/>
                <w:sz w:val="16"/>
                <w:szCs w:val="16"/>
              </w:rPr>
              <w:t>委托代理人：（签字）</w:t>
            </w:r>
          </w:p>
        </w:tc>
      </w:tr>
      <w:tr>
        <w:tblPrEx>
          <w:tblCellMar>
            <w:top w:w="0" w:type="dxa"/>
            <w:left w:w="108" w:type="dxa"/>
            <w:bottom w:w="0" w:type="dxa"/>
            <w:right w:w="108" w:type="dxa"/>
          </w:tblCellMar>
        </w:tblPrEx>
        <w:trPr>
          <w:trHeight w:val="746" w:hRule="atLeast"/>
        </w:trPr>
        <w:tc>
          <w:tcPr>
            <w:tcW w:w="4505" w:type="dxa"/>
          </w:tcPr>
          <w:p>
            <w:pPr>
              <w:rPr>
                <w:rFonts w:ascii="宋体" w:hAnsi="宋体" w:cs="宋体"/>
                <w:b/>
                <w:sz w:val="16"/>
                <w:szCs w:val="16"/>
              </w:rPr>
            </w:pPr>
            <w:r>
              <w:rPr>
                <w:rFonts w:hint="eastAsia" w:ascii="宋体" w:hAnsi="宋体" w:cs="宋体"/>
                <w:b/>
                <w:sz w:val="16"/>
                <w:szCs w:val="16"/>
              </w:rPr>
              <w:t>签约日期：</w:t>
            </w:r>
            <w:r>
              <w:rPr>
                <w:rFonts w:hint="default" w:ascii="宋体" w:hAnsi="宋体" w:cs="宋体"/>
                <w:b/>
                <w:sz w:val="16"/>
                <w:szCs w:val="16"/>
              </w:rPr>
              <w:t xml:space="preserve">     </w:t>
            </w:r>
            <w:r>
              <w:rPr>
                <w:rFonts w:hint="eastAsia" w:ascii="宋体" w:hAnsi="宋体" w:cs="宋体"/>
                <w:b/>
                <w:sz w:val="16"/>
                <w:szCs w:val="16"/>
              </w:rPr>
              <w:t xml:space="preserve">年 </w:t>
            </w:r>
            <w:r>
              <w:rPr>
                <w:rFonts w:hint="default" w:ascii="宋体" w:hAnsi="宋体" w:cs="宋体"/>
                <w:b/>
                <w:sz w:val="16"/>
                <w:szCs w:val="16"/>
              </w:rPr>
              <w:t xml:space="preserve">  </w:t>
            </w:r>
            <w:r>
              <w:rPr>
                <w:rFonts w:hint="eastAsia" w:ascii="宋体" w:hAnsi="宋体" w:cs="宋体"/>
                <w:b/>
                <w:sz w:val="16"/>
                <w:szCs w:val="16"/>
              </w:rPr>
              <w:t xml:space="preserve"> </w:t>
            </w:r>
            <w:r>
              <w:rPr>
                <w:rFonts w:hint="default" w:ascii="宋体" w:hAnsi="宋体" w:cs="宋体"/>
                <w:b/>
                <w:sz w:val="16"/>
                <w:szCs w:val="16"/>
              </w:rPr>
              <w:t xml:space="preserve"> </w:t>
            </w:r>
            <w:r>
              <w:rPr>
                <w:rFonts w:hint="eastAsia" w:ascii="宋体" w:hAnsi="宋体" w:cs="宋体"/>
                <w:b/>
                <w:sz w:val="16"/>
                <w:szCs w:val="16"/>
              </w:rPr>
              <w:t xml:space="preserve">月  </w:t>
            </w:r>
            <w:r>
              <w:rPr>
                <w:rFonts w:hint="default" w:ascii="宋体" w:hAnsi="宋体" w:cs="宋体"/>
                <w:b/>
                <w:sz w:val="16"/>
                <w:szCs w:val="16"/>
              </w:rPr>
              <w:t xml:space="preserve">  </w:t>
            </w:r>
            <w:r>
              <w:rPr>
                <w:rFonts w:hint="eastAsia" w:ascii="宋体" w:hAnsi="宋体" w:cs="宋体"/>
                <w:b/>
                <w:sz w:val="16"/>
                <w:szCs w:val="16"/>
              </w:rPr>
              <w:t xml:space="preserve">日  </w:t>
            </w:r>
          </w:p>
        </w:tc>
        <w:tc>
          <w:tcPr>
            <w:tcW w:w="4477" w:type="dxa"/>
          </w:tcPr>
          <w:p>
            <w:pPr>
              <w:rPr>
                <w:rFonts w:ascii="宋体" w:hAnsi="宋体" w:cs="宋体"/>
                <w:b/>
                <w:sz w:val="16"/>
                <w:szCs w:val="16"/>
              </w:rPr>
            </w:pPr>
            <w:r>
              <w:rPr>
                <w:rFonts w:hint="eastAsia" w:ascii="宋体" w:hAnsi="宋体" w:cs="宋体"/>
                <w:b/>
                <w:sz w:val="16"/>
                <w:szCs w:val="16"/>
              </w:rPr>
              <w:t>签约日期：</w:t>
            </w:r>
            <w:r>
              <w:rPr>
                <w:rFonts w:hint="default" w:ascii="宋体" w:hAnsi="宋体" w:cs="宋体"/>
                <w:b/>
                <w:sz w:val="16"/>
                <w:szCs w:val="16"/>
              </w:rPr>
              <w:t xml:space="preserve">     </w:t>
            </w:r>
            <w:r>
              <w:rPr>
                <w:rFonts w:hint="eastAsia" w:ascii="宋体" w:hAnsi="宋体" w:cs="宋体"/>
                <w:b/>
                <w:sz w:val="16"/>
                <w:szCs w:val="16"/>
              </w:rPr>
              <w:t>年</w:t>
            </w:r>
            <w:r>
              <w:rPr>
                <w:rFonts w:hint="default" w:ascii="宋体" w:hAnsi="宋体" w:cs="宋体"/>
                <w:b/>
                <w:sz w:val="16"/>
                <w:szCs w:val="16"/>
              </w:rPr>
              <w:t xml:space="preserve">  </w:t>
            </w:r>
            <w:r>
              <w:rPr>
                <w:rFonts w:hint="eastAsia" w:ascii="宋体" w:hAnsi="宋体" w:cs="宋体"/>
                <w:b/>
                <w:sz w:val="16"/>
                <w:szCs w:val="16"/>
              </w:rPr>
              <w:t xml:space="preserve">  </w:t>
            </w:r>
            <w:r>
              <w:rPr>
                <w:rFonts w:hint="default" w:ascii="宋体" w:hAnsi="宋体" w:cs="宋体"/>
                <w:b/>
                <w:sz w:val="16"/>
                <w:szCs w:val="16"/>
              </w:rPr>
              <w:t xml:space="preserve">  </w:t>
            </w:r>
            <w:r>
              <w:rPr>
                <w:rFonts w:hint="eastAsia" w:ascii="宋体" w:hAnsi="宋体" w:cs="宋体"/>
                <w:b/>
                <w:sz w:val="16"/>
                <w:szCs w:val="16"/>
              </w:rPr>
              <w:t xml:space="preserve">月  </w:t>
            </w:r>
            <w:r>
              <w:rPr>
                <w:rFonts w:hint="default" w:ascii="宋体" w:hAnsi="宋体" w:cs="宋体"/>
                <w:b/>
                <w:sz w:val="16"/>
                <w:szCs w:val="16"/>
              </w:rPr>
              <w:t xml:space="preserve">  </w:t>
            </w:r>
            <w:r>
              <w:rPr>
                <w:rFonts w:hint="eastAsia" w:ascii="宋体" w:hAnsi="宋体" w:cs="宋体"/>
                <w:b/>
                <w:sz w:val="16"/>
                <w:szCs w:val="16"/>
              </w:rPr>
              <w:t xml:space="preserve"> 日</w:t>
            </w:r>
          </w:p>
        </w:tc>
      </w:tr>
    </w:tbl>
    <w:p>
      <w:pPr>
        <w:numPr>
          <w:ilvl w:val="0"/>
          <w:numId w:val="0"/>
        </w:numPr>
        <w:jc w:val="both"/>
        <w:rPr>
          <w:color w:val="auto"/>
        </w:rPr>
      </w:pPr>
    </w:p>
    <w:p>
      <w:pPr>
        <w:numPr>
          <w:ilvl w:val="0"/>
          <w:numId w:val="0"/>
        </w:numPr>
        <w:jc w:val="both"/>
        <w:rPr>
          <w:color w:val="auto"/>
        </w:rPr>
      </w:pPr>
    </w:p>
    <w:p>
      <w:pPr>
        <w:numPr>
          <w:ilvl w:val="0"/>
          <w:numId w:val="0"/>
        </w:numPr>
        <w:jc w:val="both"/>
        <w:rPr>
          <w:color w:val="auto"/>
        </w:rPr>
      </w:pPr>
      <w:r>
        <w:rPr>
          <w:color w:val="auto"/>
        </w:rPr>
        <w:t>附件一：赠送设备和软件服务清单</w:t>
      </w:r>
    </w:p>
    <w:tbl>
      <w:tblPr>
        <w:tblStyle w:val="4"/>
        <w:tblpPr w:leftFromText="180" w:rightFromText="180" w:vertAnchor="text" w:horzAnchor="page" w:tblpX="776" w:tblpY="374"/>
        <w:tblOverlap w:val="never"/>
        <w:tblW w:w="95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29"/>
        <w:gridCol w:w="1726"/>
        <w:gridCol w:w="563"/>
        <w:gridCol w:w="765"/>
        <w:gridCol w:w="2301"/>
        <w:gridCol w:w="1512"/>
        <w:gridCol w:w="697"/>
        <w:gridCol w:w="693"/>
        <w:gridCol w:w="6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p>
        </w:tc>
        <w:tc>
          <w:tcPr>
            <w:tcW w:w="2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说明</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销售价格（元）</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单位</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default" w:ascii="宋体" w:hAnsi="宋体" w:eastAsia="宋体" w:cs="宋体"/>
                <w:i w:val="0"/>
                <w:color w:val="000000"/>
                <w:sz w:val="18"/>
                <w:szCs w:val="18"/>
                <w:u w:val="none"/>
              </w:rPr>
              <w:t>件套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社区猫AI智慧幼儿园软件系统（标准版）</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2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幼儿园园长账号、安全员账号、班主任账号等不同岗位账号</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根据幼儿园实际需要开通账号</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18000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元/年</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6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社区猫AI智慧幼儿园接送宝人脸视频及测温终端</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2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活体检测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快速识别</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本地对比云端对比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双目摄像机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Gface算法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Led补光灯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测掌心温度</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含墙面安装背板和电源线等，可供安装在幼儿园指定墙面</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r>
              <w:rPr>
                <w:rFonts w:hint="default" w:ascii="宋体" w:hAnsi="宋体" w:eastAsia="宋体" w:cs="宋体"/>
                <w:i w:val="0"/>
                <w:color w:val="000000"/>
                <w:kern w:val="0"/>
                <w:sz w:val="18"/>
                <w:szCs w:val="18"/>
                <w:u w:val="none"/>
                <w:lang w:eastAsia="zh-CN" w:bidi="ar"/>
              </w:rPr>
              <w:t>800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元/套</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社区猫AI智慧幼儿园接送宝立柱</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w:t>
            </w:r>
          </w:p>
        </w:tc>
        <w:tc>
          <w:tcPr>
            <w:tcW w:w="2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接送宝人脸和温度识别设备立柱</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可将设备安装在立柱上，便于现场安装和使用</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default" w:ascii="宋体" w:hAnsi="宋体" w:eastAsia="宋体" w:cs="宋体"/>
                <w:i w:val="0"/>
                <w:color w:val="000000"/>
                <w:sz w:val="18"/>
                <w:szCs w:val="18"/>
                <w:u w:val="none"/>
              </w:rPr>
              <w:t>400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元/根</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社区猫AI智慧幼儿园接送宝电池</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块</w:t>
            </w:r>
          </w:p>
        </w:tc>
        <w:tc>
          <w:tcPr>
            <w:tcW w:w="2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接送宝人脸和温度识别设备可充电电池</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可配合接送宝设备使用，安装后设备可以灵活搬移位置</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r>
              <w:rPr>
                <w:rFonts w:hint="default" w:ascii="宋体" w:hAnsi="宋体" w:eastAsia="宋体" w:cs="宋体"/>
                <w:i w:val="0"/>
                <w:color w:val="000000"/>
                <w:sz w:val="18"/>
                <w:szCs w:val="18"/>
                <w:u w:val="none"/>
              </w:rPr>
              <w:t>4500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元/块</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default" w:ascii="宋体" w:hAnsi="宋体" w:eastAsia="宋体" w:cs="宋体"/>
                <w:i w:val="0"/>
                <w:color w:val="000000"/>
                <w:sz w:val="18"/>
                <w:szCs w:val="18"/>
                <w:u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软硬件使用辅导</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长期</w:t>
            </w:r>
          </w:p>
        </w:tc>
        <w:tc>
          <w:tcPr>
            <w:tcW w:w="2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提供长期软硬件使用辅导</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包含在软件服务费用</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社区猫AI智慧幼儿园软件系统升级服务</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长期</w:t>
            </w:r>
          </w:p>
        </w:tc>
        <w:tc>
          <w:tcPr>
            <w:tcW w:w="2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提供长期软件系统升级服务</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包含在软件服务费用</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幼儿园教师培训课件</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长期</w:t>
            </w:r>
          </w:p>
        </w:tc>
        <w:tc>
          <w:tcPr>
            <w:tcW w:w="2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提供幼儿园教师培训课件</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根据课程内容确定收费标准，部分课程免费提供</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幼儿园管理课件</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长期</w:t>
            </w:r>
          </w:p>
        </w:tc>
        <w:tc>
          <w:tcPr>
            <w:tcW w:w="2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提供幼儿园管理培训课件</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根据课程内容确定收费标准，部分课程免费提供</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bl>
    <w:p>
      <w:pPr>
        <w:numPr>
          <w:ilvl w:val="0"/>
          <w:numId w:val="0"/>
        </w:numPr>
        <w:jc w:val="both"/>
        <w:rPr>
          <w:color w:val="auto"/>
        </w:rPr>
      </w:pPr>
    </w:p>
    <w:p>
      <w:pPr>
        <w:numPr>
          <w:ilvl w:val="0"/>
          <w:numId w:val="0"/>
        </w:numPr>
        <w:jc w:val="both"/>
        <w:rPr>
          <w:color w:val="auto"/>
        </w:rPr>
      </w:pPr>
    </w:p>
    <w:p>
      <w:pPr>
        <w:numPr>
          <w:ilvl w:val="0"/>
          <w:numId w:val="0"/>
        </w:numPr>
        <w:jc w:val="both"/>
        <w:rPr>
          <w:color w:val="auto"/>
        </w:rPr>
      </w:pPr>
      <w:r>
        <w:rPr>
          <w:color w:val="auto"/>
        </w:rPr>
        <w:t>附件二：硬件售后服务标准</w:t>
      </w:r>
    </w:p>
    <w:p>
      <w:pPr>
        <w:numPr>
          <w:ilvl w:val="0"/>
          <w:numId w:val="0"/>
        </w:numPr>
        <w:ind w:firstLine="420" w:firstLineChars="200"/>
        <w:jc w:val="both"/>
        <w:rPr>
          <w:rFonts w:hint="eastAsia"/>
          <w:color w:val="auto"/>
          <w:lang w:eastAsia="zh-CN"/>
        </w:rPr>
      </w:pPr>
      <w:r>
        <w:rPr>
          <w:rFonts w:hint="default"/>
          <w:color w:val="auto"/>
          <w:lang w:eastAsia="zh-CN"/>
        </w:rPr>
        <w:t>一</w:t>
      </w:r>
      <w:r>
        <w:rPr>
          <w:rFonts w:hint="eastAsia"/>
          <w:color w:val="auto"/>
          <w:lang w:eastAsia="zh-CN"/>
        </w:rPr>
        <w:t>、</w:t>
      </w:r>
      <w:r>
        <w:rPr>
          <w:rFonts w:hint="eastAsia"/>
          <w:color w:val="auto"/>
          <w:lang w:val="en-US" w:eastAsia="zh-Hans"/>
        </w:rPr>
        <w:t>货物</w:t>
      </w:r>
      <w:r>
        <w:rPr>
          <w:rFonts w:hint="eastAsia"/>
          <w:color w:val="auto"/>
          <w:lang w:eastAsia="zh-CN"/>
        </w:rPr>
        <w:t>交付</w:t>
      </w:r>
    </w:p>
    <w:p>
      <w:pPr>
        <w:numPr>
          <w:ilvl w:val="0"/>
          <w:numId w:val="0"/>
        </w:numPr>
        <w:jc w:val="both"/>
        <w:rPr>
          <w:rFonts w:hint="eastAsia"/>
          <w:color w:val="auto"/>
          <w:lang w:eastAsia="zh-CN"/>
        </w:rPr>
      </w:pPr>
      <w:r>
        <w:rPr>
          <w:rFonts w:hint="default"/>
          <w:color w:val="auto"/>
          <w:lang w:eastAsia="zh-CN"/>
        </w:rPr>
        <w:t>1、</w:t>
      </w:r>
      <w:r>
        <w:rPr>
          <w:rFonts w:hint="eastAsia"/>
          <w:color w:val="auto"/>
          <w:lang w:eastAsia="zh-CN"/>
        </w:rPr>
        <w:t>交货日期：</w:t>
      </w:r>
      <w:bookmarkStart w:id="0" w:name="GV_09"/>
      <w:bookmarkEnd w:id="0"/>
      <w:r>
        <w:rPr>
          <w:rFonts w:hint="eastAsia"/>
          <w:color w:val="auto"/>
          <w:lang w:eastAsia="zh-CN"/>
        </w:rPr>
        <w:fldChar w:fldCharType="begin"/>
      </w:r>
      <w:r>
        <w:rPr>
          <w:rFonts w:hint="eastAsia"/>
          <w:color w:val="auto"/>
          <w:lang w:eastAsia="zh-CN"/>
        </w:rPr>
        <w:instrText xml:space="preserve">60000002</w:instrText>
      </w:r>
      <w:r>
        <w:rPr>
          <w:rFonts w:hint="eastAsia"/>
          <w:color w:val="auto"/>
          <w:lang w:eastAsia="zh-CN"/>
        </w:rPr>
        <w:fldChar w:fldCharType="separate"/>
      </w:r>
      <w:r>
        <w:rPr>
          <w:rFonts w:hint="eastAsia"/>
          <w:color w:val="auto"/>
          <w:lang w:eastAsia="zh-CN"/>
        </w:rPr>
        <w:t>&amp;GV_Z002&amp;</w:t>
      </w:r>
      <w:r>
        <w:rPr>
          <w:rFonts w:hint="eastAsia"/>
          <w:color w:val="auto"/>
          <w:lang w:eastAsia="zh-CN"/>
        </w:rPr>
        <w:fldChar w:fldCharType="end"/>
      </w:r>
      <w:r>
        <w:rPr>
          <w:rFonts w:hint="eastAsia"/>
          <w:color w:val="auto"/>
          <w:lang w:eastAsia="zh-CN"/>
        </w:rPr>
        <w:t xml:space="preserve">           </w:t>
      </w:r>
      <w:r>
        <w:rPr>
          <w:rFonts w:hint="default"/>
          <w:color w:val="auto"/>
          <w:lang w:eastAsia="zh-CN"/>
        </w:rPr>
        <w:t xml:space="preserve">     </w:t>
      </w:r>
      <w:r>
        <w:rPr>
          <w:rFonts w:hint="eastAsia"/>
          <w:color w:val="auto"/>
          <w:lang w:eastAsia="zh-CN"/>
        </w:rPr>
        <w:t xml:space="preserve"> </w:t>
      </w:r>
    </w:p>
    <w:p>
      <w:pPr>
        <w:numPr>
          <w:ilvl w:val="0"/>
          <w:numId w:val="0"/>
        </w:numPr>
        <w:jc w:val="both"/>
        <w:rPr>
          <w:rFonts w:hint="eastAsia"/>
          <w:color w:val="auto"/>
          <w:lang w:eastAsia="zh-CN"/>
        </w:rPr>
      </w:pPr>
      <w:r>
        <w:rPr>
          <w:rFonts w:hint="default"/>
          <w:color w:val="auto"/>
          <w:lang w:eastAsia="zh-CN"/>
        </w:rPr>
        <w:t>2、</w:t>
      </w:r>
      <w:r>
        <w:rPr>
          <w:rFonts w:hint="eastAsia"/>
          <w:color w:val="auto"/>
          <w:lang w:eastAsia="zh-CN"/>
        </w:rPr>
        <w:t>送达地点：</w:t>
      </w:r>
      <w:bookmarkStart w:id="1" w:name="GV_10"/>
      <w:bookmarkEnd w:id="1"/>
      <w:r>
        <w:rPr>
          <w:rFonts w:hint="eastAsia"/>
          <w:color w:val="auto"/>
          <w:lang w:eastAsia="zh-CN"/>
        </w:rPr>
        <w:t xml:space="preserve">                                                    </w:t>
      </w:r>
    </w:p>
    <w:p>
      <w:pPr>
        <w:numPr>
          <w:ilvl w:val="0"/>
          <w:numId w:val="0"/>
        </w:numPr>
        <w:jc w:val="both"/>
        <w:rPr>
          <w:rFonts w:hint="eastAsia"/>
          <w:color w:val="auto"/>
          <w:lang w:eastAsia="zh-CN"/>
        </w:rPr>
      </w:pPr>
      <w:r>
        <w:rPr>
          <w:rFonts w:hint="default"/>
          <w:color w:val="auto"/>
          <w:lang w:eastAsia="zh-CN"/>
        </w:rPr>
        <w:t>3、甲方</w:t>
      </w:r>
      <w:r>
        <w:rPr>
          <w:rFonts w:hint="eastAsia"/>
          <w:color w:val="auto"/>
          <w:lang w:eastAsia="zh-CN"/>
        </w:rPr>
        <w:t>联系人及联系方式：</w:t>
      </w:r>
      <w:bookmarkStart w:id="2" w:name="GV_11"/>
      <w:bookmarkEnd w:id="2"/>
      <w:r>
        <w:rPr>
          <w:rFonts w:hint="eastAsia"/>
          <w:color w:val="auto"/>
          <w:lang w:eastAsia="zh-CN"/>
        </w:rPr>
        <w:t xml:space="preserve">                            </w:t>
      </w:r>
    </w:p>
    <w:p>
      <w:pPr>
        <w:numPr>
          <w:ilvl w:val="0"/>
          <w:numId w:val="0"/>
        </w:numPr>
        <w:jc w:val="both"/>
        <w:rPr>
          <w:rFonts w:hint="eastAsia"/>
          <w:color w:val="auto"/>
          <w:lang w:eastAsia="zh-CN"/>
        </w:rPr>
      </w:pPr>
      <w:r>
        <w:rPr>
          <w:rFonts w:hint="default"/>
          <w:color w:val="auto"/>
          <w:lang w:eastAsia="zh-CN"/>
        </w:rPr>
        <w:t>4、</w:t>
      </w:r>
      <w:r>
        <w:rPr>
          <w:rFonts w:hint="eastAsia"/>
          <w:color w:val="auto"/>
          <w:lang w:eastAsia="zh-CN"/>
        </w:rPr>
        <w:fldChar w:fldCharType="begin"/>
      </w:r>
      <w:r>
        <w:rPr>
          <w:rFonts w:hint="eastAsia"/>
          <w:color w:val="auto"/>
          <w:lang w:eastAsia="zh-CN"/>
        </w:rPr>
        <w:instrText xml:space="preserve">60000004</w:instrText>
      </w:r>
      <w:r>
        <w:rPr>
          <w:rFonts w:hint="eastAsia"/>
          <w:color w:val="auto"/>
          <w:lang w:eastAsia="zh-CN"/>
        </w:rPr>
        <w:fldChar w:fldCharType="separate"/>
      </w:r>
      <w:r>
        <w:rPr>
          <w:rFonts w:hint="eastAsia"/>
          <w:color w:val="auto"/>
          <w:lang w:eastAsia="zh-CN"/>
        </w:rPr>
        <w:t>&amp;GV_Z003&amp;</w:t>
      </w:r>
      <w:r>
        <w:rPr>
          <w:rFonts w:hint="eastAsia"/>
          <w:color w:val="auto"/>
          <w:lang w:eastAsia="zh-CN"/>
        </w:rPr>
        <w:fldChar w:fldCharType="end"/>
      </w:r>
      <w:r>
        <w:rPr>
          <w:rFonts w:hint="default"/>
          <w:color w:val="auto"/>
          <w:lang w:eastAsia="zh-CN"/>
        </w:rPr>
        <w:t>甲</w:t>
      </w:r>
      <w:r>
        <w:rPr>
          <w:rFonts w:hint="eastAsia"/>
          <w:color w:val="auto"/>
          <w:lang w:eastAsia="zh-CN"/>
        </w:rPr>
        <w:t>方联系人或代表的收货行为即视为</w:t>
      </w:r>
      <w:r>
        <w:rPr>
          <w:rFonts w:hint="default"/>
          <w:color w:val="auto"/>
          <w:lang w:eastAsia="zh-CN"/>
        </w:rPr>
        <w:t>甲</w:t>
      </w:r>
      <w:r>
        <w:rPr>
          <w:rFonts w:hint="eastAsia"/>
          <w:color w:val="auto"/>
          <w:lang w:eastAsia="zh-CN"/>
        </w:rPr>
        <w:t>方已履行供货义务。外包装如有破损，</w:t>
      </w:r>
      <w:r>
        <w:rPr>
          <w:rFonts w:hint="default"/>
          <w:color w:val="auto"/>
          <w:lang w:eastAsia="zh-CN"/>
        </w:rPr>
        <w:t>甲</w:t>
      </w:r>
      <w:r>
        <w:rPr>
          <w:rFonts w:hint="eastAsia"/>
          <w:color w:val="auto"/>
          <w:lang w:eastAsia="zh-CN"/>
        </w:rPr>
        <w:t>方应拒绝签收并于当日内通知</w:t>
      </w:r>
      <w:r>
        <w:rPr>
          <w:rFonts w:hint="default"/>
          <w:color w:val="auto"/>
          <w:lang w:eastAsia="zh-CN"/>
        </w:rPr>
        <w:t>乙</w:t>
      </w:r>
      <w:r>
        <w:rPr>
          <w:rFonts w:hint="eastAsia"/>
          <w:color w:val="auto"/>
          <w:lang w:eastAsia="zh-CN"/>
        </w:rPr>
        <w:t>方经办人，否则视为</w:t>
      </w:r>
      <w:r>
        <w:rPr>
          <w:rFonts w:hint="default"/>
          <w:color w:val="auto"/>
          <w:lang w:eastAsia="zh-CN"/>
        </w:rPr>
        <w:t>甲</w:t>
      </w:r>
      <w:r>
        <w:rPr>
          <w:rFonts w:hint="eastAsia"/>
          <w:color w:val="auto"/>
          <w:lang w:eastAsia="zh-CN"/>
        </w:rPr>
        <w:t>方验收合格。包装完好的情况下，</w:t>
      </w:r>
      <w:r>
        <w:rPr>
          <w:rFonts w:hint="default"/>
          <w:color w:val="auto"/>
          <w:lang w:eastAsia="zh-CN"/>
        </w:rPr>
        <w:t>甲</w:t>
      </w:r>
      <w:r>
        <w:rPr>
          <w:rFonts w:hint="eastAsia"/>
          <w:color w:val="auto"/>
          <w:lang w:eastAsia="zh-CN"/>
        </w:rPr>
        <w:t>方应当在货到后3日内完成验收；如有异议的应在该期限内书面提出，未提出的视为验收合格。</w:t>
      </w:r>
    </w:p>
    <w:p>
      <w:pPr>
        <w:numPr>
          <w:ilvl w:val="0"/>
          <w:numId w:val="0"/>
        </w:numPr>
        <w:ind w:firstLine="420" w:firstLineChars="200"/>
        <w:jc w:val="both"/>
        <w:rPr>
          <w:rFonts w:hint="eastAsia"/>
          <w:color w:val="auto"/>
          <w:lang w:eastAsia="zh-CN"/>
        </w:rPr>
      </w:pPr>
      <w:r>
        <w:rPr>
          <w:rFonts w:hint="default"/>
          <w:color w:val="auto"/>
          <w:lang w:eastAsia="zh-CN"/>
        </w:rPr>
        <w:t>二、</w:t>
      </w:r>
      <w:r>
        <w:rPr>
          <w:rFonts w:hint="eastAsia"/>
          <w:color w:val="auto"/>
          <w:lang w:val="en-US" w:eastAsia="zh-CN"/>
        </w:rPr>
        <w:t>运输</w:t>
      </w:r>
      <w:r>
        <w:rPr>
          <w:rFonts w:hint="default"/>
          <w:color w:val="auto"/>
          <w:lang w:eastAsia="zh-CN"/>
        </w:rPr>
        <w:t>和</w:t>
      </w:r>
      <w:r>
        <w:rPr>
          <w:rFonts w:hint="eastAsia"/>
          <w:color w:val="auto"/>
          <w:lang w:val="en-US" w:eastAsia="zh-CN"/>
        </w:rPr>
        <w:t>交付</w:t>
      </w:r>
      <w:r>
        <w:rPr>
          <w:rFonts w:hint="eastAsia"/>
          <w:color w:val="auto"/>
          <w:lang w:eastAsia="zh-CN"/>
        </w:rPr>
        <w:t xml:space="preserve"> </w:t>
      </w:r>
    </w:p>
    <w:p>
      <w:pPr>
        <w:numPr>
          <w:ilvl w:val="0"/>
          <w:numId w:val="0"/>
        </w:numPr>
        <w:jc w:val="both"/>
        <w:rPr>
          <w:rFonts w:hint="eastAsia"/>
          <w:color w:val="auto"/>
          <w:lang w:eastAsia="zh-CN"/>
        </w:rPr>
      </w:pPr>
      <w:r>
        <w:rPr>
          <w:rFonts w:hint="default"/>
          <w:color w:val="auto"/>
          <w:lang w:eastAsia="zh-CN"/>
        </w:rPr>
        <w:t>1</w:t>
      </w:r>
      <w:r>
        <w:rPr>
          <w:rFonts w:hint="eastAsia"/>
          <w:color w:val="auto"/>
          <w:lang w:val="en-US" w:eastAsia="zh-Hans"/>
        </w:rPr>
        <w:t>、首次发货运输费用由甲方承担</w:t>
      </w:r>
      <w:r>
        <w:rPr>
          <w:rFonts w:hint="default"/>
          <w:color w:val="auto"/>
          <w:lang w:eastAsia="zh-Hans"/>
        </w:rPr>
        <w:t>;</w:t>
      </w:r>
    </w:p>
    <w:p>
      <w:pPr>
        <w:numPr>
          <w:ilvl w:val="0"/>
          <w:numId w:val="0"/>
        </w:numPr>
        <w:jc w:val="both"/>
        <w:rPr>
          <w:rFonts w:hint="eastAsia"/>
          <w:color w:val="auto"/>
          <w:lang w:eastAsia="zh-CN"/>
        </w:rPr>
      </w:pPr>
      <w:r>
        <w:rPr>
          <w:rFonts w:hint="default"/>
          <w:color w:val="auto"/>
          <w:lang w:eastAsia="zh-CN"/>
        </w:rPr>
        <w:t>2</w:t>
      </w:r>
      <w:r>
        <w:rPr>
          <w:rFonts w:hint="eastAsia"/>
          <w:color w:val="auto"/>
          <w:lang w:val="en-US" w:eastAsia="zh-Hans"/>
        </w:rPr>
        <w:t>、</w:t>
      </w:r>
      <w:r>
        <w:rPr>
          <w:rFonts w:hint="default"/>
          <w:color w:val="auto"/>
          <w:lang w:eastAsia="zh-Hans"/>
        </w:rPr>
        <w:t>乙</w:t>
      </w:r>
      <w:r>
        <w:rPr>
          <w:rFonts w:hint="eastAsia"/>
          <w:color w:val="auto"/>
          <w:lang w:eastAsia="zh-CN"/>
        </w:rPr>
        <w:t>方负责将产品运输至</w:t>
      </w:r>
      <w:r>
        <w:rPr>
          <w:rFonts w:hint="default"/>
          <w:color w:val="auto"/>
          <w:lang w:eastAsia="zh-CN"/>
        </w:rPr>
        <w:t>甲</w:t>
      </w:r>
      <w:r>
        <w:rPr>
          <w:rFonts w:hint="eastAsia"/>
          <w:color w:val="auto"/>
          <w:lang w:eastAsia="zh-CN"/>
        </w:rPr>
        <w:t>方指定交货地点，货到</w:t>
      </w:r>
      <w:r>
        <w:rPr>
          <w:rFonts w:hint="default"/>
          <w:color w:val="auto"/>
          <w:lang w:eastAsia="zh-CN"/>
        </w:rPr>
        <w:t>3</w:t>
      </w:r>
      <w:r>
        <w:rPr>
          <w:rFonts w:hint="eastAsia"/>
          <w:color w:val="auto"/>
          <w:lang w:eastAsia="zh-CN"/>
        </w:rPr>
        <w:t>日内</w:t>
      </w:r>
      <w:r>
        <w:rPr>
          <w:rFonts w:hint="default"/>
          <w:color w:val="auto"/>
          <w:lang w:eastAsia="zh-CN"/>
        </w:rPr>
        <w:t>甲</w:t>
      </w:r>
      <w:r>
        <w:rPr>
          <w:rFonts w:hint="eastAsia"/>
          <w:color w:val="auto"/>
          <w:lang w:eastAsia="zh-CN"/>
        </w:rPr>
        <w:t>方应将加盖印章的货物签收单邮寄或扫描给</w:t>
      </w:r>
      <w:r>
        <w:rPr>
          <w:rFonts w:hint="default"/>
          <w:color w:val="auto"/>
          <w:lang w:eastAsia="zh-CN"/>
        </w:rPr>
        <w:t>乙</w:t>
      </w:r>
      <w:r>
        <w:rPr>
          <w:rFonts w:hint="eastAsia"/>
          <w:color w:val="auto"/>
          <w:lang w:eastAsia="zh-CN"/>
        </w:rPr>
        <w:t>方，原件和扫描件具有同等法律效力。如交货期满后4天内未能收到产品，则</w:t>
      </w:r>
      <w:r>
        <w:rPr>
          <w:rFonts w:hint="default"/>
          <w:color w:val="auto"/>
          <w:lang w:eastAsia="zh-CN"/>
        </w:rPr>
        <w:t>甲</w:t>
      </w:r>
      <w:r>
        <w:rPr>
          <w:rFonts w:hint="eastAsia"/>
          <w:color w:val="auto"/>
          <w:lang w:eastAsia="zh-CN"/>
        </w:rPr>
        <w:t>方应在3天内书面通知</w:t>
      </w:r>
      <w:r>
        <w:rPr>
          <w:rFonts w:hint="default"/>
          <w:color w:val="auto"/>
          <w:lang w:eastAsia="zh-CN"/>
        </w:rPr>
        <w:t>乙</w:t>
      </w:r>
      <w:r>
        <w:rPr>
          <w:rFonts w:hint="eastAsia"/>
          <w:color w:val="auto"/>
          <w:lang w:eastAsia="zh-CN"/>
        </w:rPr>
        <w:t>方，否则视为</w:t>
      </w:r>
      <w:r>
        <w:rPr>
          <w:rFonts w:hint="default"/>
          <w:color w:val="auto"/>
          <w:lang w:eastAsia="zh-CN"/>
        </w:rPr>
        <w:t>甲</w:t>
      </w:r>
      <w:r>
        <w:rPr>
          <w:rFonts w:hint="eastAsia"/>
          <w:color w:val="auto"/>
          <w:lang w:eastAsia="zh-CN"/>
        </w:rPr>
        <w:t>方已按时收到双方约定的合同产品。如</w:t>
      </w:r>
      <w:r>
        <w:rPr>
          <w:rFonts w:hint="default"/>
          <w:color w:val="auto"/>
          <w:lang w:eastAsia="zh-CN"/>
        </w:rPr>
        <w:t>甲方</w:t>
      </w:r>
      <w:r>
        <w:rPr>
          <w:rFonts w:hint="eastAsia"/>
          <w:color w:val="auto"/>
          <w:lang w:eastAsia="zh-CN"/>
        </w:rPr>
        <w:t>要求</w:t>
      </w:r>
      <w:r>
        <w:rPr>
          <w:rFonts w:hint="default"/>
          <w:color w:val="auto"/>
          <w:lang w:eastAsia="zh-CN"/>
        </w:rPr>
        <w:t>乙</w:t>
      </w:r>
      <w:r>
        <w:rPr>
          <w:rFonts w:hint="eastAsia"/>
          <w:color w:val="auto"/>
          <w:lang w:eastAsia="zh-CN"/>
        </w:rPr>
        <w:t>方将产品交付给第三方，则</w:t>
      </w:r>
      <w:r>
        <w:rPr>
          <w:rFonts w:hint="default"/>
          <w:color w:val="auto"/>
          <w:lang w:eastAsia="zh-CN"/>
        </w:rPr>
        <w:t>乙</w:t>
      </w:r>
      <w:r>
        <w:rPr>
          <w:rFonts w:hint="eastAsia"/>
          <w:color w:val="auto"/>
          <w:lang w:eastAsia="zh-CN"/>
        </w:rPr>
        <w:t>方向</w:t>
      </w:r>
      <w:r>
        <w:rPr>
          <w:rFonts w:hint="default"/>
          <w:color w:val="auto"/>
          <w:lang w:eastAsia="zh-CN"/>
        </w:rPr>
        <w:t>甲</w:t>
      </w:r>
      <w:r>
        <w:rPr>
          <w:rFonts w:hint="eastAsia"/>
          <w:color w:val="auto"/>
          <w:lang w:eastAsia="zh-CN"/>
        </w:rPr>
        <w:t>方提交货交承运人的发货单即表明</w:t>
      </w:r>
      <w:r>
        <w:rPr>
          <w:rFonts w:hint="default"/>
          <w:color w:val="auto"/>
          <w:lang w:eastAsia="zh-CN"/>
        </w:rPr>
        <w:t>乙</w:t>
      </w:r>
      <w:r>
        <w:rPr>
          <w:rFonts w:hint="eastAsia"/>
          <w:color w:val="auto"/>
          <w:lang w:eastAsia="zh-CN"/>
        </w:rPr>
        <w:t xml:space="preserve">方已履行产品交付义务。 </w:t>
      </w:r>
    </w:p>
    <w:p>
      <w:pPr>
        <w:numPr>
          <w:ilvl w:val="0"/>
          <w:numId w:val="0"/>
        </w:numPr>
        <w:ind w:firstLine="420" w:firstLineChars="200"/>
        <w:jc w:val="both"/>
        <w:rPr>
          <w:rFonts w:hint="eastAsia"/>
          <w:color w:val="auto"/>
          <w:lang w:eastAsia="zh-CN"/>
        </w:rPr>
      </w:pPr>
      <w:r>
        <w:rPr>
          <w:rFonts w:hint="default"/>
          <w:color w:val="auto"/>
          <w:lang w:eastAsia="zh-CN"/>
        </w:rPr>
        <w:t>三、</w:t>
      </w:r>
      <w:r>
        <w:rPr>
          <w:rFonts w:hint="eastAsia"/>
          <w:color w:val="auto"/>
          <w:lang w:eastAsia="zh-CN"/>
        </w:rPr>
        <w:t>保修</w:t>
      </w:r>
    </w:p>
    <w:p>
      <w:pPr>
        <w:numPr>
          <w:ilvl w:val="0"/>
          <w:numId w:val="0"/>
        </w:numPr>
        <w:jc w:val="both"/>
        <w:rPr>
          <w:rFonts w:hint="eastAsia"/>
          <w:color w:val="auto"/>
          <w:lang w:eastAsia="zh-CN"/>
        </w:rPr>
      </w:pPr>
      <w:r>
        <w:rPr>
          <w:rFonts w:hint="eastAsia"/>
          <w:color w:val="auto"/>
          <w:lang w:eastAsia="zh-CN"/>
        </w:rPr>
        <w:t>1、</w:t>
      </w:r>
      <w:r>
        <w:rPr>
          <w:rFonts w:hint="default"/>
          <w:color w:val="auto"/>
          <w:lang w:eastAsia="zh-CN"/>
        </w:rPr>
        <w:t>乙</w:t>
      </w:r>
      <w:r>
        <w:rPr>
          <w:rFonts w:hint="eastAsia"/>
          <w:color w:val="auto"/>
          <w:lang w:eastAsia="zh-CN"/>
        </w:rPr>
        <w:t>方承担保修责任，保修期为一年，自货到之日起算，保修期内双方各承担寄付运费、保险费。</w:t>
      </w:r>
    </w:p>
    <w:p>
      <w:pPr>
        <w:numPr>
          <w:ilvl w:val="0"/>
          <w:numId w:val="0"/>
        </w:numPr>
        <w:jc w:val="both"/>
        <w:rPr>
          <w:rFonts w:hint="eastAsia"/>
          <w:color w:val="auto"/>
          <w:lang w:eastAsia="zh-CN"/>
        </w:rPr>
      </w:pPr>
      <w:r>
        <w:rPr>
          <w:rFonts w:hint="eastAsia"/>
          <w:color w:val="auto"/>
          <w:lang w:eastAsia="zh-CN"/>
        </w:rPr>
        <w:t>2、货到7日之内经测试发现有产品质量问题</w:t>
      </w:r>
      <w:r>
        <w:rPr>
          <w:rFonts w:hint="default"/>
          <w:color w:val="auto"/>
          <w:lang w:eastAsia="zh-CN"/>
        </w:rPr>
        <w:t>，乙</w:t>
      </w:r>
      <w:r>
        <w:rPr>
          <w:rFonts w:hint="eastAsia"/>
          <w:color w:val="auto"/>
          <w:lang w:eastAsia="zh-CN"/>
        </w:rPr>
        <w:t>方负责</w:t>
      </w:r>
      <w:r>
        <w:rPr>
          <w:rFonts w:hint="eastAsia"/>
          <w:color w:val="auto"/>
          <w:lang w:val="en-US" w:eastAsia="zh-Hans"/>
        </w:rPr>
        <w:t>调试维修或</w:t>
      </w:r>
      <w:r>
        <w:rPr>
          <w:rFonts w:hint="eastAsia"/>
          <w:color w:val="auto"/>
          <w:lang w:eastAsia="zh-CN"/>
        </w:rPr>
        <w:t>更换。</w:t>
      </w:r>
    </w:p>
    <w:p>
      <w:pPr>
        <w:numPr>
          <w:ilvl w:val="0"/>
          <w:numId w:val="0"/>
        </w:numPr>
        <w:jc w:val="both"/>
        <w:rPr>
          <w:rFonts w:hint="eastAsia"/>
          <w:color w:val="auto"/>
          <w:lang w:eastAsia="zh-CN"/>
        </w:rPr>
      </w:pPr>
      <w:r>
        <w:rPr>
          <w:rFonts w:hint="default"/>
          <w:color w:val="auto"/>
          <w:lang w:eastAsia="zh-CN"/>
        </w:rPr>
        <w:t>3</w:t>
      </w:r>
      <w:r>
        <w:rPr>
          <w:rFonts w:hint="eastAsia"/>
          <w:color w:val="auto"/>
          <w:lang w:val="en-US" w:eastAsia="zh-Hans"/>
        </w:rPr>
        <w:t>、</w:t>
      </w:r>
      <w:r>
        <w:rPr>
          <w:rFonts w:hint="eastAsia"/>
          <w:color w:val="auto"/>
          <w:lang w:eastAsia="zh-CN"/>
        </w:rPr>
        <w:t>保修期内，对非人为因素引起的故障，</w:t>
      </w:r>
      <w:r>
        <w:rPr>
          <w:rFonts w:hint="default"/>
          <w:color w:val="auto"/>
          <w:lang w:eastAsia="zh-CN"/>
        </w:rPr>
        <w:t>乙</w:t>
      </w:r>
      <w:r>
        <w:rPr>
          <w:rFonts w:hint="eastAsia"/>
          <w:color w:val="auto"/>
          <w:lang w:eastAsia="zh-CN"/>
        </w:rPr>
        <w:t>方负责免费维修。</w:t>
      </w:r>
    </w:p>
    <w:p>
      <w:pPr>
        <w:numPr>
          <w:ilvl w:val="0"/>
          <w:numId w:val="0"/>
        </w:numPr>
        <w:jc w:val="both"/>
        <w:rPr>
          <w:rFonts w:hint="eastAsia"/>
          <w:color w:val="auto"/>
          <w:lang w:eastAsia="zh-CN"/>
        </w:rPr>
      </w:pPr>
      <w:r>
        <w:rPr>
          <w:rFonts w:hint="default"/>
          <w:color w:val="auto"/>
          <w:lang w:eastAsia="zh-Hans"/>
        </w:rPr>
        <w:t>4</w:t>
      </w:r>
      <w:r>
        <w:rPr>
          <w:rFonts w:hint="eastAsia"/>
          <w:color w:val="auto"/>
          <w:lang w:val="en-US" w:eastAsia="zh-Hans"/>
        </w:rPr>
        <w:t>、保修期内</w:t>
      </w:r>
      <w:r>
        <w:rPr>
          <w:rFonts w:hint="default"/>
          <w:color w:val="auto"/>
          <w:lang w:eastAsia="zh-Hans"/>
        </w:rPr>
        <w:t>，</w:t>
      </w:r>
      <w:r>
        <w:rPr>
          <w:rFonts w:hint="eastAsia"/>
          <w:color w:val="auto"/>
          <w:lang w:val="en-US" w:eastAsia="zh-Hans"/>
        </w:rPr>
        <w:t>对人为因素引起的故障</w:t>
      </w:r>
      <w:r>
        <w:rPr>
          <w:rFonts w:hint="default"/>
          <w:color w:val="auto"/>
          <w:lang w:eastAsia="zh-Hans"/>
        </w:rPr>
        <w:t>，乙</w:t>
      </w:r>
      <w:r>
        <w:rPr>
          <w:rFonts w:hint="eastAsia"/>
          <w:color w:val="auto"/>
          <w:lang w:val="en-US" w:eastAsia="zh-Hans"/>
        </w:rPr>
        <w:t>方将收取一定费用。</w:t>
      </w:r>
    </w:p>
    <w:p>
      <w:pPr>
        <w:numPr>
          <w:ilvl w:val="0"/>
          <w:numId w:val="0"/>
        </w:numPr>
        <w:jc w:val="both"/>
        <w:rPr>
          <w:rFonts w:hint="eastAsia"/>
          <w:color w:val="auto"/>
          <w:lang w:eastAsia="zh-CN"/>
        </w:rPr>
      </w:pPr>
      <w:r>
        <w:rPr>
          <w:rFonts w:hint="default"/>
          <w:color w:val="auto"/>
          <w:lang w:eastAsia="zh-CN"/>
        </w:rPr>
        <w:t>5</w:t>
      </w:r>
      <w:r>
        <w:rPr>
          <w:rFonts w:hint="eastAsia"/>
          <w:color w:val="auto"/>
          <w:lang w:val="en-US" w:eastAsia="zh-Hans"/>
        </w:rPr>
        <w:t>、</w:t>
      </w:r>
      <w:r>
        <w:rPr>
          <w:rFonts w:hint="eastAsia"/>
          <w:color w:val="auto"/>
          <w:lang w:eastAsia="zh-CN"/>
        </w:rPr>
        <w:t>产品超过保修期后发生的故障维修，</w:t>
      </w:r>
      <w:r>
        <w:rPr>
          <w:rFonts w:hint="default"/>
          <w:color w:val="auto"/>
          <w:lang w:eastAsia="zh-CN"/>
        </w:rPr>
        <w:t>乙</w:t>
      </w:r>
      <w:r>
        <w:rPr>
          <w:rFonts w:hint="eastAsia"/>
          <w:color w:val="auto"/>
          <w:lang w:eastAsia="zh-CN"/>
        </w:rPr>
        <w:t>方将收取一定费用。</w:t>
      </w:r>
    </w:p>
    <w:p>
      <w:pPr>
        <w:numPr>
          <w:ilvl w:val="0"/>
          <w:numId w:val="0"/>
        </w:numPr>
        <w:jc w:val="both"/>
        <w:rPr>
          <w:rFonts w:hint="eastAsia"/>
          <w:color w:val="auto"/>
          <w:lang w:eastAsia="zh-CN"/>
        </w:rPr>
      </w:pPr>
    </w:p>
    <w:p>
      <w:pPr>
        <w:numPr>
          <w:ilvl w:val="0"/>
          <w:numId w:val="0"/>
        </w:numPr>
        <w:jc w:val="both"/>
        <w:rPr>
          <w:rFonts w:hint="default"/>
          <w:color w:val="auto"/>
          <w:lang w:eastAsia="zh-CN"/>
        </w:rPr>
      </w:pPr>
      <w:r>
        <w:rPr>
          <w:rFonts w:hint="default"/>
          <w:color w:val="auto"/>
          <w:lang w:eastAsia="zh-CN"/>
        </w:rPr>
        <w:t>附件三：软件功能列表及服务说明</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2"/>
        <w:gridCol w:w="2404"/>
        <w:gridCol w:w="5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tcPr>
          <w:p>
            <w:pPr>
              <w:numPr>
                <w:ilvl w:val="0"/>
                <w:numId w:val="0"/>
              </w:numPr>
              <w:jc w:val="center"/>
              <w:rPr>
                <w:rFonts w:hint="eastAsia"/>
                <w:color w:val="auto"/>
                <w:vertAlign w:val="baseline"/>
                <w:lang w:eastAsia="zh-CN"/>
              </w:rPr>
            </w:pPr>
            <w:r>
              <w:rPr>
                <w:rFonts w:hint="default"/>
                <w:color w:val="auto"/>
                <w:lang w:eastAsia="zh-CN"/>
              </w:rPr>
              <w:t>序号</w:t>
            </w:r>
          </w:p>
        </w:tc>
        <w:tc>
          <w:tcPr>
            <w:tcW w:w="2404" w:type="dxa"/>
          </w:tcPr>
          <w:p>
            <w:pPr>
              <w:numPr>
                <w:ilvl w:val="0"/>
                <w:numId w:val="0"/>
              </w:numPr>
              <w:jc w:val="center"/>
              <w:rPr>
                <w:rFonts w:hint="eastAsia"/>
                <w:color w:val="auto"/>
                <w:vertAlign w:val="baseline"/>
                <w:lang w:eastAsia="zh-CN"/>
              </w:rPr>
            </w:pPr>
            <w:r>
              <w:rPr>
                <w:rFonts w:hint="default"/>
                <w:color w:val="auto"/>
                <w:vertAlign w:val="baseline"/>
                <w:lang w:eastAsia="zh-CN"/>
              </w:rPr>
              <w:t>功能名称</w:t>
            </w:r>
          </w:p>
        </w:tc>
        <w:tc>
          <w:tcPr>
            <w:tcW w:w="5316" w:type="dxa"/>
          </w:tcPr>
          <w:p>
            <w:pPr>
              <w:numPr>
                <w:ilvl w:val="0"/>
                <w:numId w:val="0"/>
              </w:numPr>
              <w:jc w:val="center"/>
              <w:rPr>
                <w:rFonts w:hint="eastAsia"/>
                <w:color w:val="auto"/>
                <w:vertAlign w:val="baseline"/>
                <w:lang w:eastAsia="zh-CN"/>
              </w:rPr>
            </w:pPr>
            <w:r>
              <w:rPr>
                <w:rFonts w:hint="default"/>
                <w:color w:val="auto"/>
                <w:vertAlign w:val="baseline"/>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tcPr>
          <w:p>
            <w:pPr>
              <w:numPr>
                <w:ilvl w:val="0"/>
                <w:numId w:val="0"/>
              </w:numPr>
              <w:jc w:val="center"/>
              <w:rPr>
                <w:rFonts w:hint="default"/>
                <w:color w:val="auto"/>
                <w:lang w:eastAsia="zh-CN"/>
              </w:rPr>
            </w:pPr>
            <w:r>
              <w:rPr>
                <w:rFonts w:hint="default"/>
                <w:color w:val="auto"/>
                <w:lang w:eastAsia="zh-CN"/>
              </w:rPr>
              <w:t>1</w:t>
            </w:r>
          </w:p>
        </w:tc>
        <w:tc>
          <w:tcPr>
            <w:tcW w:w="2404" w:type="dxa"/>
          </w:tcPr>
          <w:p>
            <w:pPr>
              <w:numPr>
                <w:ilvl w:val="0"/>
                <w:numId w:val="0"/>
              </w:numPr>
              <w:jc w:val="center"/>
              <w:rPr>
                <w:rFonts w:hint="default"/>
                <w:color w:val="auto"/>
                <w:vertAlign w:val="baseline"/>
                <w:lang w:eastAsia="zh-CN"/>
              </w:rPr>
            </w:pPr>
            <w:r>
              <w:rPr>
                <w:rFonts w:hint="default"/>
                <w:color w:val="auto"/>
                <w:vertAlign w:val="baseline"/>
                <w:lang w:eastAsia="zh-CN"/>
              </w:rPr>
              <w:t>幼儿管理</w:t>
            </w:r>
          </w:p>
        </w:tc>
        <w:tc>
          <w:tcPr>
            <w:tcW w:w="5316" w:type="dxa"/>
          </w:tcPr>
          <w:p>
            <w:pPr>
              <w:numPr>
                <w:ilvl w:val="0"/>
                <w:numId w:val="0"/>
              </w:numPr>
              <w:jc w:val="center"/>
              <w:rPr>
                <w:rFonts w:hint="default"/>
                <w:color w:val="auto"/>
                <w:vertAlign w:val="baseline"/>
                <w:lang w:eastAsia="zh-CN"/>
              </w:rPr>
            </w:pPr>
            <w:r>
              <w:rPr>
                <w:rFonts w:hint="default"/>
                <w:color w:val="auto"/>
                <w:vertAlign w:val="baseline"/>
                <w:lang w:eastAsia="zh-CN"/>
              </w:rPr>
              <w:t>幼儿园内所有幼儿信息管理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tcPr>
          <w:p>
            <w:pPr>
              <w:numPr>
                <w:ilvl w:val="0"/>
                <w:numId w:val="0"/>
              </w:numPr>
              <w:jc w:val="center"/>
              <w:rPr>
                <w:rFonts w:hint="default"/>
                <w:color w:val="auto"/>
                <w:lang w:eastAsia="zh-CN"/>
              </w:rPr>
            </w:pPr>
            <w:r>
              <w:rPr>
                <w:rFonts w:hint="default"/>
                <w:color w:val="auto"/>
                <w:lang w:eastAsia="zh-CN"/>
              </w:rPr>
              <w:t>2</w:t>
            </w:r>
          </w:p>
        </w:tc>
        <w:tc>
          <w:tcPr>
            <w:tcW w:w="2404" w:type="dxa"/>
          </w:tcPr>
          <w:p>
            <w:pPr>
              <w:numPr>
                <w:ilvl w:val="0"/>
                <w:numId w:val="0"/>
              </w:numPr>
              <w:jc w:val="center"/>
              <w:rPr>
                <w:rFonts w:hint="default"/>
                <w:color w:val="auto"/>
                <w:vertAlign w:val="baseline"/>
                <w:lang w:eastAsia="zh-CN"/>
              </w:rPr>
            </w:pPr>
            <w:r>
              <w:rPr>
                <w:rFonts w:hint="default"/>
                <w:color w:val="auto"/>
                <w:vertAlign w:val="baseline"/>
                <w:lang w:eastAsia="zh-CN"/>
              </w:rPr>
              <w:t>班级管理</w:t>
            </w:r>
          </w:p>
        </w:tc>
        <w:tc>
          <w:tcPr>
            <w:tcW w:w="5316" w:type="dxa"/>
          </w:tcPr>
          <w:p>
            <w:pPr>
              <w:numPr>
                <w:ilvl w:val="0"/>
                <w:numId w:val="0"/>
              </w:numPr>
              <w:jc w:val="center"/>
              <w:rPr>
                <w:rFonts w:hint="default"/>
                <w:color w:val="auto"/>
                <w:vertAlign w:val="baseline"/>
                <w:lang w:eastAsia="zh-CN"/>
              </w:rPr>
            </w:pPr>
            <w:r>
              <w:rPr>
                <w:rFonts w:hint="default"/>
                <w:color w:val="auto"/>
                <w:vertAlign w:val="baseline"/>
                <w:lang w:eastAsia="zh-CN"/>
              </w:rPr>
              <w:t>班级管理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tcPr>
          <w:p>
            <w:pPr>
              <w:numPr>
                <w:ilvl w:val="0"/>
                <w:numId w:val="0"/>
              </w:numPr>
              <w:jc w:val="center"/>
              <w:rPr>
                <w:rFonts w:hint="default"/>
                <w:color w:val="auto"/>
                <w:lang w:eastAsia="zh-CN"/>
              </w:rPr>
            </w:pPr>
            <w:r>
              <w:rPr>
                <w:rFonts w:hint="default"/>
                <w:color w:val="auto"/>
                <w:lang w:eastAsia="zh-CN"/>
              </w:rPr>
              <w:t>3</w:t>
            </w:r>
          </w:p>
        </w:tc>
        <w:tc>
          <w:tcPr>
            <w:tcW w:w="2404" w:type="dxa"/>
          </w:tcPr>
          <w:p>
            <w:pPr>
              <w:numPr>
                <w:ilvl w:val="0"/>
                <w:numId w:val="0"/>
              </w:numPr>
              <w:jc w:val="center"/>
              <w:rPr>
                <w:rFonts w:hint="default"/>
                <w:color w:val="auto"/>
                <w:vertAlign w:val="baseline"/>
                <w:lang w:eastAsia="zh-CN"/>
              </w:rPr>
            </w:pPr>
            <w:r>
              <w:rPr>
                <w:rFonts w:hint="default"/>
                <w:color w:val="auto"/>
                <w:vertAlign w:val="baseline"/>
                <w:lang w:eastAsia="zh-CN"/>
              </w:rPr>
              <w:t>考勤请假</w:t>
            </w:r>
          </w:p>
        </w:tc>
        <w:tc>
          <w:tcPr>
            <w:tcW w:w="5316" w:type="dxa"/>
          </w:tcPr>
          <w:p>
            <w:pPr>
              <w:numPr>
                <w:ilvl w:val="0"/>
                <w:numId w:val="0"/>
              </w:numPr>
              <w:jc w:val="center"/>
              <w:rPr>
                <w:rFonts w:hint="default"/>
                <w:color w:val="auto"/>
                <w:vertAlign w:val="baseline"/>
                <w:lang w:eastAsia="zh-CN"/>
              </w:rPr>
            </w:pPr>
            <w:r>
              <w:rPr>
                <w:rFonts w:hint="default"/>
                <w:color w:val="auto"/>
                <w:vertAlign w:val="baseline"/>
                <w:lang w:eastAsia="zh-CN"/>
              </w:rPr>
              <w:t>幼儿园内幼儿日常请假管理和幼儿教师考勤管理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tcPr>
          <w:p>
            <w:pPr>
              <w:numPr>
                <w:ilvl w:val="0"/>
                <w:numId w:val="0"/>
              </w:numPr>
              <w:jc w:val="center"/>
              <w:rPr>
                <w:rFonts w:hint="default"/>
                <w:color w:val="auto"/>
                <w:lang w:eastAsia="zh-CN"/>
              </w:rPr>
            </w:pPr>
            <w:r>
              <w:rPr>
                <w:rFonts w:hint="default"/>
                <w:color w:val="auto"/>
                <w:lang w:eastAsia="zh-CN"/>
              </w:rPr>
              <w:t>4</w:t>
            </w:r>
          </w:p>
        </w:tc>
        <w:tc>
          <w:tcPr>
            <w:tcW w:w="2404" w:type="dxa"/>
          </w:tcPr>
          <w:p>
            <w:pPr>
              <w:numPr>
                <w:ilvl w:val="0"/>
                <w:numId w:val="0"/>
              </w:numPr>
              <w:jc w:val="center"/>
              <w:rPr>
                <w:rFonts w:hint="default"/>
                <w:color w:val="auto"/>
                <w:vertAlign w:val="baseline"/>
                <w:lang w:eastAsia="zh-CN"/>
              </w:rPr>
            </w:pPr>
            <w:r>
              <w:rPr>
                <w:rFonts w:hint="default"/>
                <w:color w:val="auto"/>
                <w:vertAlign w:val="baseline"/>
                <w:lang w:eastAsia="zh-CN"/>
              </w:rPr>
              <w:t>AI接送宝</w:t>
            </w:r>
          </w:p>
        </w:tc>
        <w:tc>
          <w:tcPr>
            <w:tcW w:w="5316" w:type="dxa"/>
          </w:tcPr>
          <w:p>
            <w:pPr>
              <w:numPr>
                <w:ilvl w:val="0"/>
                <w:numId w:val="0"/>
              </w:numPr>
              <w:jc w:val="center"/>
              <w:rPr>
                <w:rFonts w:hint="default"/>
                <w:color w:val="auto"/>
                <w:vertAlign w:val="baseline"/>
                <w:lang w:eastAsia="zh-CN"/>
              </w:rPr>
            </w:pPr>
            <w:r>
              <w:rPr>
                <w:rFonts w:hint="default"/>
                <w:color w:val="auto"/>
                <w:vertAlign w:val="baseline"/>
                <w:lang w:eastAsia="zh-CN"/>
              </w:rPr>
              <w:t>幼儿接送管理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tcPr>
          <w:p>
            <w:pPr>
              <w:numPr>
                <w:ilvl w:val="0"/>
                <w:numId w:val="0"/>
              </w:numPr>
              <w:jc w:val="center"/>
              <w:rPr>
                <w:rFonts w:hint="default"/>
                <w:color w:val="auto"/>
                <w:lang w:eastAsia="zh-CN"/>
              </w:rPr>
            </w:pPr>
            <w:r>
              <w:rPr>
                <w:rFonts w:hint="default"/>
                <w:color w:val="auto"/>
                <w:lang w:eastAsia="zh-CN"/>
              </w:rPr>
              <w:t>5</w:t>
            </w:r>
          </w:p>
        </w:tc>
        <w:tc>
          <w:tcPr>
            <w:tcW w:w="2404" w:type="dxa"/>
          </w:tcPr>
          <w:p>
            <w:pPr>
              <w:numPr>
                <w:ilvl w:val="0"/>
                <w:numId w:val="0"/>
              </w:numPr>
              <w:jc w:val="center"/>
              <w:rPr>
                <w:rFonts w:hint="default"/>
                <w:color w:val="auto"/>
                <w:vertAlign w:val="baseline"/>
                <w:lang w:eastAsia="zh-CN"/>
              </w:rPr>
            </w:pPr>
            <w:r>
              <w:rPr>
                <w:rFonts w:hint="default"/>
                <w:color w:val="auto"/>
                <w:vertAlign w:val="baseline"/>
                <w:lang w:eastAsia="zh-CN"/>
              </w:rPr>
              <w:t>喂药管理</w:t>
            </w:r>
          </w:p>
        </w:tc>
        <w:tc>
          <w:tcPr>
            <w:tcW w:w="5316" w:type="dxa"/>
          </w:tcPr>
          <w:p>
            <w:pPr>
              <w:numPr>
                <w:ilvl w:val="0"/>
                <w:numId w:val="0"/>
              </w:numPr>
              <w:jc w:val="center"/>
              <w:rPr>
                <w:rFonts w:hint="default"/>
                <w:color w:val="auto"/>
                <w:vertAlign w:val="baseline"/>
                <w:lang w:eastAsia="zh-CN"/>
              </w:rPr>
            </w:pPr>
            <w:r>
              <w:rPr>
                <w:rFonts w:hint="default"/>
                <w:color w:val="auto"/>
                <w:vertAlign w:val="baseline"/>
                <w:lang w:eastAsia="zh-CN"/>
              </w:rPr>
              <w:t>幼儿园内孩子每日喂药管理和统计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tcPr>
          <w:p>
            <w:pPr>
              <w:numPr>
                <w:ilvl w:val="0"/>
                <w:numId w:val="0"/>
              </w:numPr>
              <w:jc w:val="center"/>
              <w:rPr>
                <w:rFonts w:hint="default"/>
                <w:color w:val="auto"/>
                <w:lang w:eastAsia="zh-CN"/>
              </w:rPr>
            </w:pPr>
            <w:r>
              <w:rPr>
                <w:rFonts w:hint="default"/>
                <w:color w:val="auto"/>
                <w:lang w:eastAsia="zh-CN"/>
              </w:rPr>
              <w:t>6</w:t>
            </w:r>
          </w:p>
        </w:tc>
        <w:tc>
          <w:tcPr>
            <w:tcW w:w="2404" w:type="dxa"/>
          </w:tcPr>
          <w:p>
            <w:pPr>
              <w:numPr>
                <w:ilvl w:val="0"/>
                <w:numId w:val="0"/>
              </w:numPr>
              <w:jc w:val="center"/>
              <w:rPr>
                <w:rFonts w:hint="default"/>
                <w:color w:val="auto"/>
                <w:vertAlign w:val="baseline"/>
                <w:lang w:eastAsia="zh-CN"/>
              </w:rPr>
            </w:pPr>
            <w:r>
              <w:rPr>
                <w:rFonts w:hint="default"/>
                <w:color w:val="auto"/>
                <w:vertAlign w:val="baseline"/>
                <w:lang w:eastAsia="zh-CN"/>
              </w:rPr>
              <w:t>过敏管理</w:t>
            </w:r>
          </w:p>
        </w:tc>
        <w:tc>
          <w:tcPr>
            <w:tcW w:w="5316" w:type="dxa"/>
          </w:tcPr>
          <w:p>
            <w:pPr>
              <w:numPr>
                <w:ilvl w:val="0"/>
                <w:numId w:val="0"/>
              </w:numPr>
              <w:jc w:val="center"/>
              <w:rPr>
                <w:rFonts w:hint="default"/>
                <w:color w:val="auto"/>
                <w:vertAlign w:val="baseline"/>
                <w:lang w:eastAsia="zh-CN"/>
              </w:rPr>
            </w:pPr>
            <w:r>
              <w:rPr>
                <w:rFonts w:hint="default"/>
                <w:color w:val="auto"/>
                <w:vertAlign w:val="baseline"/>
                <w:lang w:eastAsia="zh-CN"/>
              </w:rPr>
              <w:t>幼儿园内孩子过敏情况管理，与食谱一起使用可以实现过敏源提醒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tcPr>
          <w:p>
            <w:pPr>
              <w:numPr>
                <w:ilvl w:val="0"/>
                <w:numId w:val="0"/>
              </w:numPr>
              <w:jc w:val="center"/>
              <w:rPr>
                <w:rFonts w:hint="default"/>
                <w:color w:val="auto"/>
                <w:lang w:eastAsia="zh-CN"/>
              </w:rPr>
            </w:pPr>
            <w:r>
              <w:rPr>
                <w:rFonts w:hint="default"/>
                <w:color w:val="auto"/>
                <w:lang w:eastAsia="zh-CN"/>
              </w:rPr>
              <w:t>7</w:t>
            </w:r>
          </w:p>
        </w:tc>
        <w:tc>
          <w:tcPr>
            <w:tcW w:w="2404" w:type="dxa"/>
          </w:tcPr>
          <w:p>
            <w:pPr>
              <w:numPr>
                <w:ilvl w:val="0"/>
                <w:numId w:val="0"/>
              </w:numPr>
              <w:jc w:val="center"/>
              <w:rPr>
                <w:rFonts w:hint="default"/>
                <w:color w:val="auto"/>
                <w:vertAlign w:val="baseline"/>
                <w:lang w:eastAsia="zh-CN"/>
              </w:rPr>
            </w:pPr>
            <w:r>
              <w:rPr>
                <w:rFonts w:hint="default"/>
                <w:color w:val="auto"/>
                <w:vertAlign w:val="baseline"/>
                <w:lang w:eastAsia="zh-CN"/>
              </w:rPr>
              <w:t>食谱管理</w:t>
            </w:r>
          </w:p>
        </w:tc>
        <w:tc>
          <w:tcPr>
            <w:tcW w:w="5316" w:type="dxa"/>
          </w:tcPr>
          <w:p>
            <w:pPr>
              <w:numPr>
                <w:ilvl w:val="0"/>
                <w:numId w:val="0"/>
              </w:numPr>
              <w:jc w:val="center"/>
              <w:rPr>
                <w:rFonts w:hint="default"/>
                <w:color w:val="auto"/>
                <w:vertAlign w:val="baseline"/>
                <w:lang w:eastAsia="zh-CN"/>
              </w:rPr>
            </w:pPr>
            <w:r>
              <w:rPr>
                <w:rFonts w:hint="default"/>
                <w:color w:val="auto"/>
                <w:vertAlign w:val="baseline"/>
                <w:lang w:eastAsia="zh-CN"/>
              </w:rPr>
              <w:t>幼儿园内一日三餐食谱管理和营养管理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tcPr>
          <w:p>
            <w:pPr>
              <w:numPr>
                <w:ilvl w:val="0"/>
                <w:numId w:val="0"/>
              </w:numPr>
              <w:jc w:val="center"/>
              <w:rPr>
                <w:rFonts w:hint="default"/>
                <w:color w:val="auto"/>
                <w:lang w:eastAsia="zh-CN"/>
              </w:rPr>
            </w:pPr>
            <w:r>
              <w:rPr>
                <w:rFonts w:hint="default"/>
                <w:color w:val="auto"/>
                <w:lang w:eastAsia="zh-CN"/>
              </w:rPr>
              <w:t>8</w:t>
            </w:r>
          </w:p>
        </w:tc>
        <w:tc>
          <w:tcPr>
            <w:tcW w:w="2404" w:type="dxa"/>
          </w:tcPr>
          <w:p>
            <w:pPr>
              <w:numPr>
                <w:ilvl w:val="0"/>
                <w:numId w:val="0"/>
              </w:numPr>
              <w:jc w:val="center"/>
              <w:rPr>
                <w:rFonts w:hint="default"/>
                <w:color w:val="auto"/>
                <w:vertAlign w:val="baseline"/>
                <w:lang w:eastAsia="zh-CN"/>
              </w:rPr>
            </w:pPr>
            <w:r>
              <w:rPr>
                <w:rFonts w:hint="default"/>
                <w:color w:val="auto"/>
                <w:vertAlign w:val="baseline"/>
                <w:lang w:eastAsia="zh-CN"/>
              </w:rPr>
              <w:t>园务管理</w:t>
            </w:r>
          </w:p>
        </w:tc>
        <w:tc>
          <w:tcPr>
            <w:tcW w:w="5316" w:type="dxa"/>
          </w:tcPr>
          <w:p>
            <w:pPr>
              <w:numPr>
                <w:ilvl w:val="0"/>
                <w:numId w:val="0"/>
              </w:numPr>
              <w:jc w:val="center"/>
              <w:rPr>
                <w:rFonts w:hint="default"/>
                <w:color w:val="auto"/>
                <w:vertAlign w:val="baseline"/>
                <w:lang w:eastAsia="zh-CN"/>
              </w:rPr>
            </w:pPr>
            <w:r>
              <w:rPr>
                <w:rFonts w:hint="default"/>
                <w:color w:val="auto"/>
                <w:vertAlign w:val="baseline"/>
                <w:lang w:eastAsia="zh-CN"/>
              </w:rPr>
              <w:t>幼儿园内课程等园务活动管理</w:t>
            </w:r>
          </w:p>
        </w:tc>
      </w:tr>
    </w:tbl>
    <w:p>
      <w:pPr>
        <w:numPr>
          <w:ilvl w:val="0"/>
          <w:numId w:val="0"/>
        </w:numPr>
        <w:jc w:val="both"/>
        <w:rPr>
          <w:rFonts w:hint="eastAsia"/>
          <w:color w:val="FF0000"/>
          <w:lang w:eastAsia="zh-CN"/>
        </w:rPr>
      </w:pPr>
    </w:p>
    <w:p>
      <w:pPr>
        <w:numPr>
          <w:ilvl w:val="0"/>
          <w:numId w:val="0"/>
        </w:numPr>
        <w:jc w:val="both"/>
        <w:rPr>
          <w:rFonts w:hint="eastAsia"/>
          <w:color w:val="auto"/>
          <w:lang w:eastAsia="zh-CN"/>
        </w:rPr>
      </w:pPr>
    </w:p>
    <w:p>
      <w:pPr>
        <w:numPr>
          <w:ilvl w:val="0"/>
          <w:numId w:val="0"/>
        </w:numPr>
        <w:jc w:val="both"/>
        <w:rPr>
          <w:rFonts w:hint="eastAsia"/>
          <w:color w:val="auto"/>
          <w:lang w:eastAsia="zh-CN"/>
        </w:rPr>
      </w:pPr>
    </w:p>
    <w:p>
      <w:pPr>
        <w:numPr>
          <w:ilvl w:val="0"/>
          <w:numId w:val="0"/>
        </w:numPr>
        <w:jc w:val="both"/>
        <w:rPr>
          <w:rFonts w:hint="eastAsia"/>
          <w:color w:val="auto"/>
          <w:lang w:eastAsia="zh-CN"/>
        </w:rPr>
      </w:pPr>
    </w:p>
    <w:p>
      <w:pPr>
        <w:numPr>
          <w:ilvl w:val="0"/>
          <w:numId w:val="0"/>
        </w:numPr>
        <w:jc w:val="both"/>
        <w:rPr>
          <w:color w:val="auto"/>
        </w:rPr>
      </w:pPr>
      <w:r>
        <w:rPr>
          <w:color w:val="auto"/>
        </w:rPr>
        <w:t>附件四：保密协议</w:t>
      </w:r>
    </w:p>
    <w:p>
      <w:pPr>
        <w:numPr>
          <w:ilvl w:val="0"/>
          <w:numId w:val="0"/>
        </w:numPr>
        <w:jc w:val="both"/>
        <w:rPr>
          <w:rFonts w:hint="eastAsia"/>
          <w:color w:val="auto"/>
          <w:lang w:eastAsia="zh-CN"/>
        </w:rPr>
      </w:pPr>
    </w:p>
    <w:p>
      <w:pPr>
        <w:numPr>
          <w:ilvl w:val="0"/>
          <w:numId w:val="0"/>
        </w:numPr>
        <w:ind w:firstLine="420" w:firstLineChars="200"/>
        <w:jc w:val="both"/>
        <w:rPr>
          <w:rFonts w:hint="eastAsia"/>
          <w:color w:val="auto"/>
          <w:lang w:eastAsia="zh-CN"/>
        </w:rPr>
      </w:pPr>
      <w:r>
        <w:rPr>
          <w:rFonts w:hint="eastAsia"/>
          <w:color w:val="auto"/>
          <w:lang w:eastAsia="zh-CN"/>
        </w:rPr>
        <w:t>本</w:t>
      </w:r>
      <w:r>
        <w:rPr>
          <w:rFonts w:hint="default"/>
          <w:color w:val="auto"/>
          <w:lang w:eastAsia="zh-CN"/>
        </w:rPr>
        <w:t>协议</w:t>
      </w:r>
      <w:r>
        <w:rPr>
          <w:rFonts w:hint="eastAsia"/>
          <w:color w:val="auto"/>
          <w:lang w:eastAsia="zh-CN"/>
        </w:rPr>
        <w:t>中所称“保密信息”是指</w:t>
      </w:r>
      <w:r>
        <w:rPr>
          <w:rFonts w:hint="default"/>
          <w:color w:val="auto"/>
          <w:lang w:eastAsia="zh-CN"/>
        </w:rPr>
        <w:t>甲方</w:t>
      </w:r>
      <w:r>
        <w:rPr>
          <w:rFonts w:hint="eastAsia"/>
          <w:color w:val="auto"/>
          <w:lang w:eastAsia="zh-CN"/>
        </w:rPr>
        <w:t>向</w:t>
      </w:r>
      <w:r>
        <w:rPr>
          <w:rFonts w:hint="default"/>
          <w:color w:val="auto"/>
          <w:lang w:eastAsia="zh-CN"/>
        </w:rPr>
        <w:t>乙</w:t>
      </w:r>
      <w:r>
        <w:rPr>
          <w:rFonts w:hint="eastAsia"/>
          <w:color w:val="auto"/>
          <w:lang w:eastAsia="zh-CN"/>
        </w:rPr>
        <w:t>方公开的技术上或营业上的信息当中，符合以下内容之一的信息。</w:t>
      </w:r>
    </w:p>
    <w:p>
      <w:pPr>
        <w:numPr>
          <w:ilvl w:val="0"/>
          <w:numId w:val="0"/>
        </w:numPr>
        <w:jc w:val="both"/>
        <w:rPr>
          <w:rFonts w:hint="eastAsia"/>
          <w:color w:val="auto"/>
          <w:lang w:eastAsia="zh-CN"/>
        </w:rPr>
      </w:pPr>
      <w:r>
        <w:rPr>
          <w:rFonts w:hint="eastAsia"/>
          <w:color w:val="auto"/>
          <w:lang w:eastAsia="zh-CN"/>
        </w:rPr>
        <w:t>（1）以纸张、电子媒体、样品等的交付、邮寄、发信等，无论提供的媒体或手段如何，提供时表示为秘密的信息。</w:t>
      </w:r>
    </w:p>
    <w:p>
      <w:pPr>
        <w:numPr>
          <w:ilvl w:val="0"/>
          <w:numId w:val="0"/>
        </w:numPr>
        <w:jc w:val="both"/>
        <w:rPr>
          <w:rFonts w:hint="eastAsia"/>
          <w:color w:val="auto"/>
          <w:lang w:eastAsia="zh-CN"/>
        </w:rPr>
      </w:pPr>
      <w:r>
        <w:rPr>
          <w:rFonts w:hint="eastAsia"/>
          <w:color w:val="auto"/>
          <w:lang w:eastAsia="zh-CN"/>
        </w:rPr>
        <w:t>（2）在以口头、示范等无形方式公开的信息当中，</w:t>
      </w:r>
      <w:r>
        <w:rPr>
          <w:rFonts w:hint="default"/>
          <w:color w:val="auto"/>
          <w:lang w:eastAsia="zh-CN"/>
        </w:rPr>
        <w:t>甲</w:t>
      </w:r>
      <w:r>
        <w:rPr>
          <w:rFonts w:hint="eastAsia"/>
          <w:color w:val="auto"/>
          <w:lang w:eastAsia="zh-CN"/>
        </w:rPr>
        <w:t>方在公开时表明为秘密，同时在公开后30天内将该信息简明地书面表示为秘密信息后通知给</w:t>
      </w:r>
      <w:r>
        <w:rPr>
          <w:rFonts w:hint="default"/>
          <w:color w:val="auto"/>
          <w:lang w:eastAsia="zh-CN"/>
        </w:rPr>
        <w:t>乙</w:t>
      </w:r>
      <w:r>
        <w:rPr>
          <w:rFonts w:hint="eastAsia"/>
          <w:color w:val="auto"/>
          <w:lang w:eastAsia="zh-CN"/>
        </w:rPr>
        <w:t>方的信息。</w:t>
      </w:r>
    </w:p>
    <w:p>
      <w:pPr>
        <w:numPr>
          <w:ilvl w:val="0"/>
          <w:numId w:val="0"/>
        </w:numPr>
        <w:jc w:val="both"/>
        <w:rPr>
          <w:rFonts w:hint="eastAsia"/>
          <w:color w:val="auto"/>
          <w:lang w:eastAsia="zh-CN"/>
        </w:rPr>
      </w:pPr>
    </w:p>
    <w:p>
      <w:pPr>
        <w:numPr>
          <w:ilvl w:val="0"/>
          <w:numId w:val="0"/>
        </w:numPr>
        <w:jc w:val="both"/>
        <w:rPr>
          <w:rFonts w:hint="eastAsia"/>
          <w:color w:val="auto"/>
          <w:lang w:eastAsia="zh-CN"/>
        </w:rPr>
      </w:pPr>
      <w:r>
        <w:rPr>
          <w:rFonts w:hint="eastAsia"/>
          <w:color w:val="auto"/>
          <w:lang w:eastAsia="zh-CN"/>
        </w:rPr>
        <w:t>第</w:t>
      </w:r>
      <w:r>
        <w:rPr>
          <w:rFonts w:hint="default"/>
          <w:color w:val="auto"/>
          <w:lang w:eastAsia="zh-CN"/>
        </w:rPr>
        <w:t>1</w:t>
      </w:r>
      <w:r>
        <w:rPr>
          <w:rFonts w:hint="eastAsia"/>
          <w:color w:val="auto"/>
          <w:lang w:eastAsia="zh-CN"/>
        </w:rPr>
        <w:t>条（保密义务）</w:t>
      </w:r>
    </w:p>
    <w:p>
      <w:pPr>
        <w:numPr>
          <w:ilvl w:val="0"/>
          <w:numId w:val="0"/>
        </w:numPr>
        <w:jc w:val="both"/>
        <w:rPr>
          <w:rFonts w:hint="eastAsia"/>
          <w:color w:val="auto"/>
          <w:lang w:eastAsia="zh-CN"/>
        </w:rPr>
      </w:pPr>
      <w:r>
        <w:rPr>
          <w:rFonts w:hint="eastAsia"/>
          <w:color w:val="auto"/>
          <w:lang w:eastAsia="zh-CN"/>
        </w:rPr>
        <w:t>1、</w:t>
      </w:r>
      <w:r>
        <w:rPr>
          <w:rFonts w:hint="default"/>
          <w:color w:val="auto"/>
          <w:lang w:eastAsia="zh-CN"/>
        </w:rPr>
        <w:t>乙方</w:t>
      </w:r>
      <w:r>
        <w:rPr>
          <w:rFonts w:hint="eastAsia"/>
          <w:color w:val="auto"/>
          <w:lang w:eastAsia="zh-CN"/>
        </w:rPr>
        <w:t>应对从</w:t>
      </w:r>
      <w:r>
        <w:rPr>
          <w:rFonts w:hint="default"/>
          <w:color w:val="auto"/>
          <w:lang w:eastAsia="zh-CN"/>
        </w:rPr>
        <w:t>甲</w:t>
      </w:r>
      <w:r>
        <w:rPr>
          <w:rFonts w:hint="eastAsia"/>
          <w:color w:val="auto"/>
          <w:lang w:eastAsia="zh-CN"/>
        </w:rPr>
        <w:t>方获得的保密信息给予如同对自己拥有的具有同样机密性质的保密信息所给予的同样程度</w:t>
      </w:r>
      <w:r>
        <w:rPr>
          <w:rFonts w:hint="default"/>
          <w:color w:val="auto"/>
          <w:lang w:eastAsia="zh-CN"/>
        </w:rPr>
        <w:t>的</w:t>
      </w:r>
      <w:r>
        <w:rPr>
          <w:rFonts w:hint="eastAsia"/>
          <w:color w:val="auto"/>
          <w:lang w:eastAsia="zh-CN"/>
        </w:rPr>
        <w:t>秘密</w:t>
      </w:r>
      <w:r>
        <w:rPr>
          <w:rFonts w:hint="default"/>
          <w:color w:val="auto"/>
          <w:lang w:eastAsia="zh-CN"/>
        </w:rPr>
        <w:t>义务</w:t>
      </w:r>
      <w:r>
        <w:rPr>
          <w:rFonts w:hint="eastAsia"/>
          <w:color w:val="auto"/>
          <w:lang w:eastAsia="zh-CN"/>
        </w:rPr>
        <w:t>，但无论如何不得低于合理的注意程度，在未取得</w:t>
      </w:r>
      <w:r>
        <w:rPr>
          <w:rFonts w:hint="default"/>
          <w:color w:val="auto"/>
          <w:lang w:eastAsia="zh-CN"/>
        </w:rPr>
        <w:t>甲</w:t>
      </w:r>
      <w:r>
        <w:rPr>
          <w:rFonts w:hint="eastAsia"/>
          <w:color w:val="auto"/>
          <w:lang w:eastAsia="zh-CN"/>
        </w:rPr>
        <w:t>方事先书面同意时不得将保密信息用于“本目的”以外或向第三方公开或泄漏。</w:t>
      </w:r>
    </w:p>
    <w:p>
      <w:pPr>
        <w:numPr>
          <w:ilvl w:val="0"/>
          <w:numId w:val="0"/>
        </w:numPr>
        <w:jc w:val="both"/>
        <w:rPr>
          <w:rFonts w:hint="eastAsia"/>
          <w:color w:val="auto"/>
          <w:lang w:eastAsia="zh-CN"/>
        </w:rPr>
      </w:pPr>
      <w:r>
        <w:rPr>
          <w:rFonts w:hint="default"/>
          <w:color w:val="auto"/>
          <w:lang w:eastAsia="zh-CN"/>
        </w:rPr>
        <w:t>2</w:t>
      </w:r>
      <w:r>
        <w:rPr>
          <w:rFonts w:hint="eastAsia"/>
          <w:color w:val="auto"/>
          <w:lang w:eastAsia="zh-CN"/>
        </w:rPr>
        <w:t>、</w:t>
      </w:r>
      <w:r>
        <w:rPr>
          <w:rFonts w:hint="default"/>
          <w:color w:val="auto"/>
          <w:lang w:eastAsia="zh-CN"/>
        </w:rPr>
        <w:t>乙</w:t>
      </w:r>
      <w:r>
        <w:rPr>
          <w:rFonts w:hint="eastAsia"/>
          <w:color w:val="auto"/>
          <w:lang w:eastAsia="zh-CN"/>
        </w:rPr>
        <w:t>方为防止保密信息的泄漏，应任命保密信息管理负责人，严格地保管、管理保密信息。</w:t>
      </w:r>
    </w:p>
    <w:p>
      <w:pPr>
        <w:numPr>
          <w:ilvl w:val="0"/>
          <w:numId w:val="0"/>
        </w:numPr>
        <w:jc w:val="both"/>
        <w:rPr>
          <w:rFonts w:hint="eastAsia"/>
          <w:color w:val="auto"/>
          <w:lang w:eastAsia="zh-CN"/>
        </w:rPr>
      </w:pPr>
    </w:p>
    <w:p>
      <w:pPr>
        <w:numPr>
          <w:ilvl w:val="0"/>
          <w:numId w:val="0"/>
        </w:numPr>
        <w:jc w:val="both"/>
        <w:rPr>
          <w:rFonts w:hint="eastAsia"/>
          <w:color w:val="auto"/>
          <w:lang w:eastAsia="zh-CN"/>
        </w:rPr>
      </w:pPr>
      <w:r>
        <w:rPr>
          <w:rFonts w:hint="eastAsia"/>
          <w:color w:val="auto"/>
          <w:lang w:eastAsia="zh-CN"/>
        </w:rPr>
        <w:t>第</w:t>
      </w:r>
      <w:r>
        <w:rPr>
          <w:rFonts w:hint="default"/>
          <w:color w:val="auto"/>
          <w:lang w:eastAsia="zh-CN"/>
        </w:rPr>
        <w:t>2</w:t>
      </w:r>
      <w:r>
        <w:rPr>
          <w:rFonts w:hint="eastAsia"/>
          <w:color w:val="auto"/>
          <w:lang w:eastAsia="zh-CN"/>
        </w:rPr>
        <w:t>条（</w:t>
      </w:r>
      <w:r>
        <w:rPr>
          <w:rFonts w:hint="default"/>
          <w:color w:val="auto"/>
          <w:lang w:eastAsia="zh-CN"/>
        </w:rPr>
        <w:t>保密</w:t>
      </w:r>
      <w:r>
        <w:rPr>
          <w:rFonts w:hint="eastAsia"/>
          <w:color w:val="auto"/>
          <w:lang w:eastAsia="zh-CN"/>
        </w:rPr>
        <w:t>例外）</w:t>
      </w:r>
    </w:p>
    <w:p>
      <w:pPr>
        <w:numPr>
          <w:ilvl w:val="0"/>
          <w:numId w:val="0"/>
        </w:numPr>
        <w:jc w:val="both"/>
        <w:rPr>
          <w:rFonts w:hint="eastAsia"/>
          <w:color w:val="auto"/>
          <w:lang w:eastAsia="zh-CN"/>
        </w:rPr>
      </w:pPr>
      <w:r>
        <w:rPr>
          <w:rFonts w:hint="eastAsia"/>
          <w:color w:val="auto"/>
          <w:lang w:eastAsia="zh-CN"/>
        </w:rPr>
        <w:t>1、保密信息当中符合以下任一情况的信息，不适用本</w:t>
      </w:r>
      <w:r>
        <w:rPr>
          <w:rFonts w:hint="default"/>
          <w:color w:val="auto"/>
          <w:lang w:eastAsia="zh-CN"/>
        </w:rPr>
        <w:t>协议</w:t>
      </w:r>
      <w:r>
        <w:rPr>
          <w:rFonts w:hint="eastAsia"/>
          <w:color w:val="auto"/>
          <w:lang w:eastAsia="zh-CN"/>
        </w:rPr>
        <w:t>的规定。</w:t>
      </w:r>
    </w:p>
    <w:p>
      <w:pPr>
        <w:numPr>
          <w:ilvl w:val="0"/>
          <w:numId w:val="0"/>
        </w:numPr>
        <w:jc w:val="both"/>
        <w:rPr>
          <w:rFonts w:hint="eastAsia"/>
          <w:color w:val="auto"/>
          <w:lang w:eastAsia="zh-CN"/>
        </w:rPr>
      </w:pPr>
      <w:r>
        <w:rPr>
          <w:rFonts w:hint="eastAsia"/>
          <w:color w:val="auto"/>
          <w:lang w:eastAsia="zh-CN"/>
        </w:rPr>
        <w:t>（1）公开时已为公众所获悉的信息，或公开后成为公众所获悉的信息（但是，因</w:t>
      </w:r>
      <w:r>
        <w:rPr>
          <w:rFonts w:hint="default"/>
          <w:color w:val="auto"/>
          <w:lang w:eastAsia="zh-CN"/>
        </w:rPr>
        <w:t>乙</w:t>
      </w:r>
      <w:r>
        <w:rPr>
          <w:rFonts w:hint="eastAsia"/>
          <w:color w:val="auto"/>
          <w:lang w:eastAsia="zh-CN"/>
        </w:rPr>
        <w:t xml:space="preserve">方违反本合同的规定使之成为公众所获悉的信息除外）。 </w:t>
      </w:r>
    </w:p>
    <w:p>
      <w:pPr>
        <w:numPr>
          <w:ilvl w:val="0"/>
          <w:numId w:val="0"/>
        </w:numPr>
        <w:jc w:val="both"/>
        <w:rPr>
          <w:rFonts w:hint="eastAsia"/>
          <w:color w:val="auto"/>
          <w:lang w:eastAsia="zh-CN"/>
        </w:rPr>
      </w:pPr>
      <w:r>
        <w:rPr>
          <w:rFonts w:hint="eastAsia"/>
          <w:color w:val="auto"/>
          <w:lang w:eastAsia="zh-CN"/>
        </w:rPr>
        <w:t>（2）公开前</w:t>
      </w:r>
      <w:r>
        <w:rPr>
          <w:rFonts w:hint="default"/>
          <w:color w:val="auto"/>
          <w:lang w:eastAsia="zh-CN"/>
        </w:rPr>
        <w:t>乙</w:t>
      </w:r>
      <w:r>
        <w:rPr>
          <w:rFonts w:hint="eastAsia"/>
          <w:color w:val="auto"/>
          <w:lang w:eastAsia="zh-CN"/>
        </w:rPr>
        <w:t>方已获知的信息。</w:t>
      </w:r>
    </w:p>
    <w:p>
      <w:pPr>
        <w:numPr>
          <w:ilvl w:val="0"/>
          <w:numId w:val="0"/>
        </w:numPr>
        <w:jc w:val="both"/>
        <w:rPr>
          <w:rFonts w:hint="eastAsia"/>
          <w:color w:val="auto"/>
          <w:lang w:eastAsia="zh-CN"/>
        </w:rPr>
      </w:pPr>
      <w:r>
        <w:rPr>
          <w:rFonts w:hint="eastAsia"/>
          <w:color w:val="auto"/>
          <w:lang w:eastAsia="zh-CN"/>
        </w:rPr>
        <w:t>（3）非依据</w:t>
      </w:r>
      <w:r>
        <w:rPr>
          <w:rFonts w:hint="default"/>
          <w:color w:val="auto"/>
          <w:lang w:eastAsia="zh-CN"/>
        </w:rPr>
        <w:t>甲</w:t>
      </w:r>
      <w:r>
        <w:rPr>
          <w:rFonts w:hint="eastAsia"/>
          <w:color w:val="auto"/>
          <w:lang w:eastAsia="zh-CN"/>
        </w:rPr>
        <w:t>方的保密信息且由</w:t>
      </w:r>
      <w:r>
        <w:rPr>
          <w:rFonts w:hint="default"/>
          <w:color w:val="auto"/>
          <w:lang w:eastAsia="zh-CN"/>
        </w:rPr>
        <w:t>乙</w:t>
      </w:r>
      <w:r>
        <w:rPr>
          <w:rFonts w:hint="eastAsia"/>
          <w:color w:val="auto"/>
          <w:lang w:eastAsia="zh-CN"/>
        </w:rPr>
        <w:t>方独自开发的信息。</w:t>
      </w:r>
    </w:p>
    <w:p>
      <w:pPr>
        <w:numPr>
          <w:ilvl w:val="0"/>
          <w:numId w:val="0"/>
        </w:numPr>
        <w:jc w:val="both"/>
        <w:rPr>
          <w:rFonts w:hint="eastAsia"/>
          <w:color w:val="auto"/>
          <w:lang w:eastAsia="zh-CN"/>
        </w:rPr>
      </w:pPr>
      <w:r>
        <w:rPr>
          <w:rFonts w:hint="eastAsia"/>
          <w:color w:val="auto"/>
          <w:lang w:eastAsia="zh-CN"/>
        </w:rPr>
        <w:t>（4）与</w:t>
      </w:r>
      <w:r>
        <w:rPr>
          <w:rFonts w:hint="default"/>
          <w:color w:val="auto"/>
          <w:lang w:eastAsia="zh-CN"/>
        </w:rPr>
        <w:t>乙</w:t>
      </w:r>
      <w:r>
        <w:rPr>
          <w:rFonts w:hint="eastAsia"/>
          <w:color w:val="auto"/>
          <w:lang w:eastAsia="zh-CN"/>
        </w:rPr>
        <w:t>方从第三方获得的无须承担保密义务相同的信息。</w:t>
      </w:r>
    </w:p>
    <w:p>
      <w:pPr>
        <w:numPr>
          <w:ilvl w:val="0"/>
          <w:numId w:val="0"/>
        </w:numPr>
        <w:jc w:val="both"/>
        <w:rPr>
          <w:rFonts w:hint="eastAsia"/>
          <w:color w:val="auto"/>
          <w:lang w:eastAsia="zh-CN"/>
        </w:rPr>
      </w:pPr>
      <w:r>
        <w:rPr>
          <w:rFonts w:hint="eastAsia"/>
          <w:color w:val="auto"/>
          <w:lang w:eastAsia="zh-CN"/>
        </w:rPr>
        <w:t>2、基于法院、行政部门等的法规、判决、决定、命令等，强制要求公开保密信息时，</w:t>
      </w:r>
      <w:r>
        <w:rPr>
          <w:rFonts w:hint="default"/>
          <w:color w:val="auto"/>
          <w:lang w:eastAsia="zh-CN"/>
        </w:rPr>
        <w:t>乙</w:t>
      </w:r>
      <w:r>
        <w:rPr>
          <w:rFonts w:hint="eastAsia"/>
          <w:color w:val="auto"/>
          <w:lang w:eastAsia="zh-CN"/>
        </w:rPr>
        <w:t>方可以向该法院、行政部门等公开保密信息。</w:t>
      </w:r>
    </w:p>
    <w:p>
      <w:pPr>
        <w:numPr>
          <w:ilvl w:val="0"/>
          <w:numId w:val="0"/>
        </w:numPr>
        <w:jc w:val="both"/>
        <w:rPr>
          <w:rFonts w:hint="eastAsia"/>
          <w:color w:val="auto"/>
          <w:lang w:eastAsia="zh-CN"/>
        </w:rPr>
      </w:pPr>
    </w:p>
    <w:p>
      <w:pPr>
        <w:numPr>
          <w:ilvl w:val="0"/>
          <w:numId w:val="0"/>
        </w:numPr>
        <w:jc w:val="both"/>
        <w:rPr>
          <w:rFonts w:hint="eastAsia"/>
          <w:color w:val="auto"/>
          <w:lang w:eastAsia="zh-CN"/>
        </w:rPr>
      </w:pPr>
      <w:r>
        <w:rPr>
          <w:rFonts w:hint="eastAsia"/>
          <w:color w:val="auto"/>
          <w:lang w:eastAsia="zh-CN"/>
        </w:rPr>
        <w:t>第</w:t>
      </w:r>
      <w:r>
        <w:rPr>
          <w:rFonts w:hint="default"/>
          <w:color w:val="auto"/>
          <w:lang w:eastAsia="zh-CN"/>
        </w:rPr>
        <w:t>3</w:t>
      </w:r>
      <w:r>
        <w:rPr>
          <w:rFonts w:hint="eastAsia"/>
          <w:color w:val="auto"/>
          <w:lang w:eastAsia="zh-CN"/>
        </w:rPr>
        <w:t>条（保密信息的返还）</w:t>
      </w:r>
    </w:p>
    <w:p>
      <w:pPr>
        <w:numPr>
          <w:ilvl w:val="0"/>
          <w:numId w:val="0"/>
        </w:numPr>
        <w:ind w:firstLine="420" w:firstLineChars="200"/>
        <w:jc w:val="both"/>
        <w:rPr>
          <w:rFonts w:hint="eastAsia"/>
          <w:color w:val="auto"/>
          <w:lang w:eastAsia="zh-CN"/>
        </w:rPr>
      </w:pPr>
      <w:r>
        <w:rPr>
          <w:rFonts w:hint="default"/>
          <w:color w:val="auto"/>
          <w:lang w:eastAsia="zh-CN"/>
        </w:rPr>
        <w:t>乙</w:t>
      </w:r>
      <w:r>
        <w:rPr>
          <w:rFonts w:hint="eastAsia"/>
          <w:color w:val="auto"/>
          <w:lang w:eastAsia="zh-CN"/>
        </w:rPr>
        <w:t>方在本合同终止后或</w:t>
      </w:r>
      <w:r>
        <w:rPr>
          <w:rFonts w:hint="default"/>
          <w:color w:val="auto"/>
          <w:lang w:eastAsia="zh-CN"/>
        </w:rPr>
        <w:t>甲</w:t>
      </w:r>
      <w:r>
        <w:rPr>
          <w:rFonts w:hint="eastAsia"/>
          <w:color w:val="auto"/>
          <w:lang w:eastAsia="zh-CN"/>
        </w:rPr>
        <w:t>方提出书面要求时，应立即</w:t>
      </w:r>
      <w:r>
        <w:rPr>
          <w:rFonts w:hint="default"/>
          <w:color w:val="auto"/>
          <w:lang w:eastAsia="zh-CN"/>
        </w:rPr>
        <w:t>将乙</w:t>
      </w:r>
      <w:r>
        <w:rPr>
          <w:rFonts w:hint="eastAsia"/>
          <w:color w:val="auto"/>
          <w:lang w:eastAsia="zh-CN"/>
        </w:rPr>
        <w:t>方公开的保密信息及其复制物进行返还或废弃。</w:t>
      </w:r>
    </w:p>
    <w:p>
      <w:pPr>
        <w:numPr>
          <w:ilvl w:val="0"/>
          <w:numId w:val="0"/>
        </w:numPr>
        <w:ind w:firstLine="420" w:firstLineChars="200"/>
        <w:jc w:val="both"/>
        <w:rPr>
          <w:rFonts w:hint="eastAsia"/>
          <w:color w:val="auto"/>
          <w:lang w:eastAsia="zh-CN"/>
        </w:rPr>
      </w:pPr>
    </w:p>
    <w:p>
      <w:pPr>
        <w:numPr>
          <w:ilvl w:val="0"/>
          <w:numId w:val="0"/>
        </w:numPr>
        <w:jc w:val="both"/>
        <w:rPr>
          <w:rFonts w:hint="eastAsia"/>
          <w:color w:val="auto"/>
          <w:lang w:eastAsia="zh-CN"/>
        </w:rPr>
      </w:pPr>
    </w:p>
    <w:p>
      <w:pPr>
        <w:jc w:val="both"/>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jaVu Sans">
    <w:altName w:val="Times New Roman"/>
    <w:panose1 w:val="02020603050405020304"/>
    <w:charset w:val="00"/>
    <w:family w:val="roman"/>
    <w:pitch w:val="default"/>
    <w:sig w:usb0="00000000" w:usb1="00000000" w:usb2="00000008" w:usb3="00000000" w:csb0="0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0C273"/>
    <w:multiLevelType w:val="singleLevel"/>
    <w:tmpl w:val="5FB0C273"/>
    <w:lvl w:ilvl="0" w:tentative="0">
      <w:start w:val="1"/>
      <w:numFmt w:val="decimal"/>
      <w:suff w:val="nothing"/>
      <w:lvlText w:val="%1、"/>
      <w:lvlJc w:val="left"/>
    </w:lvl>
  </w:abstractNum>
  <w:abstractNum w:abstractNumId="1">
    <w:nsid w:val="5FB0C33B"/>
    <w:multiLevelType w:val="singleLevel"/>
    <w:tmpl w:val="5FB0C33B"/>
    <w:lvl w:ilvl="0" w:tentative="0">
      <w:start w:val="2"/>
      <w:numFmt w:val="chineseCounting"/>
      <w:suff w:val="nothing"/>
      <w:lvlText w:val="%1、"/>
      <w:lvlJc w:val="left"/>
    </w:lvl>
  </w:abstractNum>
  <w:abstractNum w:abstractNumId="2">
    <w:nsid w:val="5FB0C48C"/>
    <w:multiLevelType w:val="singleLevel"/>
    <w:tmpl w:val="5FB0C48C"/>
    <w:lvl w:ilvl="0" w:tentative="0">
      <w:start w:val="1"/>
      <w:numFmt w:val="decimal"/>
      <w:suff w:val="nothing"/>
      <w:lvlText w:val="%1、"/>
      <w:lvlJc w:val="left"/>
    </w:lvl>
  </w:abstractNum>
  <w:abstractNum w:abstractNumId="3">
    <w:nsid w:val="5FB0C60E"/>
    <w:multiLevelType w:val="singleLevel"/>
    <w:tmpl w:val="5FB0C60E"/>
    <w:lvl w:ilvl="0" w:tentative="0">
      <w:start w:val="1"/>
      <w:numFmt w:val="decimal"/>
      <w:suff w:val="nothing"/>
      <w:lvlText w:val="%1、"/>
      <w:lvlJc w:val="left"/>
    </w:lvl>
  </w:abstractNum>
  <w:abstractNum w:abstractNumId="4">
    <w:nsid w:val="5FB4CE86"/>
    <w:multiLevelType w:val="singleLevel"/>
    <w:tmpl w:val="5FB4CE86"/>
    <w:lvl w:ilvl="0" w:tentative="0">
      <w:start w:val="1"/>
      <w:numFmt w:val="decimal"/>
      <w:suff w:val="nothing"/>
      <w:lvlText w:val="%1、"/>
      <w:lvlJc w:val="left"/>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6EF33B7"/>
    <w:rsid w:val="000634A4"/>
    <w:rsid w:val="001A190E"/>
    <w:rsid w:val="00400F6D"/>
    <w:rsid w:val="31703FEB"/>
    <w:rsid w:val="36EF3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Table caption|1"/>
    <w:basedOn w:val="1"/>
    <w:qFormat/>
    <w:uiPriority w:val="0"/>
    <w:rPr>
      <w:rFonts w:ascii="宋体" w:hAnsi="宋体" w:eastAsia="宋体" w:cs="宋体"/>
      <w:sz w:val="19"/>
      <w:szCs w:val="19"/>
      <w:lang w:val="zh-TW" w:eastAsia="zh-TW" w:bidi="zh-TW"/>
    </w:rPr>
  </w:style>
  <w:style w:type="paragraph" w:customStyle="1" w:styleId="8">
    <w:name w:val="Other|1"/>
    <w:basedOn w:val="1"/>
    <w:qFormat/>
    <w:uiPriority w:val="0"/>
    <w:pPr>
      <w:ind w:left="260"/>
    </w:pPr>
    <w:rPr>
      <w:rFonts w:ascii="宋体" w:hAnsi="宋体" w:eastAsia="宋体" w:cs="宋体"/>
      <w:sz w:val="19"/>
      <w:szCs w:val="19"/>
      <w:lang w:val="zh-TW" w:eastAsia="zh-TW" w:bidi="zh-TW"/>
    </w:rPr>
  </w:style>
  <w:style w:type="character" w:customStyle="1" w:styleId="9">
    <w:name w:val="页眉 Char"/>
    <w:basedOn w:val="6"/>
    <w:link w:val="3"/>
    <w:uiPriority w:val="0"/>
    <w:rPr>
      <w:kern w:val="2"/>
      <w:sz w:val="18"/>
      <w:szCs w:val="18"/>
    </w:rPr>
  </w:style>
  <w:style w:type="character" w:customStyle="1" w:styleId="10">
    <w:name w:val="页脚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36</Words>
  <Characters>208</Characters>
  <Lines>1</Lines>
  <Paragraphs>1</Paragraphs>
  <TotalTime>1</TotalTime>
  <ScaleCrop>false</ScaleCrop>
  <LinksUpToDate>false</LinksUpToDate>
  <CharactersWithSpaces>243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2021-01-28T14:55:00Z</dcterms:created>
  <dc:creator>liyaping</dc:creator>
  <cp:lastModifiedBy>Lucky杨小奋</cp:lastModifiedBy>
  <dcterms:modified xsi:type="dcterms:W3CDTF">2021-03-01T02:33:34Z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